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2128"/>
        <w:gridCol w:w="3932"/>
        <w:gridCol w:w="1233"/>
        <w:gridCol w:w="1110"/>
        <w:gridCol w:w="1079"/>
        <w:gridCol w:w="855"/>
        <w:gridCol w:w="855"/>
        <w:gridCol w:w="10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龙港镇公共文化服务领域基层政务公开标准目录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公共文化机构免费开放信息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1.《中华人民共和国公共文化服务保障法》；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3.《文化部 财政部关于推进全功美术馆、公共图书馆、文化馆（站）免费开放工作的意见》（文财务发[2011]5号）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4《文化部 财政部关于做好城市社区（街道）文化中心免费开放工作的通知》（文财务函[2016]171号）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龙港镇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特殊群体公共文化服务信息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1.《中华人民共和国残疾人保障法》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3.《中共中央办公厅 国务院办公厅印发关于加快构建现代公共文化服务体系的意见》（中办发[2015]2号）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龙港镇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组织开展群众文化活动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龙港镇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下基层辅导、演出、展览和指导基层群众文化活动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龙港镇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举办各类展览、讲座信息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2.《乡镇综合文化站管理办法》（中华人民共和国文化部令第48号）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龙港镇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辅导和培训基层文化骨干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2.《乡镇综合文化站管理办法》（中华人民共和国文化部令第49号）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龙港镇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FEC058"/>
    <w:rsid w:val="4C61628D"/>
    <w:rsid w:val="60F33528"/>
    <w:rsid w:val="62481970"/>
    <w:rsid w:val="6465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2020-10-22T11:41:00Z</dcterms:created>
  <dc:creator>Administrator</dc:creator>
  <cp:lastModifiedBy>fgj006</cp:lastModifiedBy>
  <dcterms:modified xsi:type="dcterms:W3CDTF">2026-05-13T14:56:07Z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