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黑体" w:hAnsi="黑体" w:eastAsia="黑体" w:cs="宋体"/>
          <w:bCs/>
          <w:kern w:val="0"/>
          <w:sz w:val="36"/>
          <w:szCs w:val="36"/>
          <w:lang w:val="en-US" w:eastAsia="zh-CN"/>
        </w:rPr>
      </w:pPr>
    </w:p>
    <w:p>
      <w:pPr>
        <w:widowControl/>
        <w:spacing w:line="600" w:lineRule="exact"/>
        <w:jc w:val="center"/>
        <w:rPr>
          <w:kern w:val="0"/>
          <w:sz w:val="36"/>
          <w:szCs w:val="36"/>
        </w:rPr>
      </w:pPr>
      <w:r>
        <w:rPr>
          <w:rFonts w:hint="eastAsia" w:ascii="黑体" w:hAnsi="黑体" w:eastAsia="黑体" w:cs="宋体"/>
          <w:bCs/>
          <w:kern w:val="0"/>
          <w:sz w:val="36"/>
          <w:szCs w:val="36"/>
          <w:lang w:val="en-US" w:eastAsia="zh-CN"/>
        </w:rPr>
        <w:t>沁水县</w:t>
      </w:r>
      <w:r>
        <w:rPr>
          <w:rFonts w:hint="eastAsia" w:ascii="黑体" w:hAnsi="黑体" w:eastAsia="黑体" w:cs="宋体"/>
          <w:bCs/>
          <w:kern w:val="0"/>
          <w:sz w:val="36"/>
          <w:szCs w:val="36"/>
        </w:rPr>
        <w:t>第四次</w:t>
      </w:r>
      <w:r>
        <w:rPr>
          <w:rFonts w:hint="eastAsia" w:ascii="黑体" w:hAnsi="黑体" w:eastAsia="黑体" w:cs="宋体"/>
          <w:bCs/>
          <w:kern w:val="0"/>
          <w:sz w:val="36"/>
          <w:szCs w:val="36"/>
          <w:lang w:eastAsia="zh-CN"/>
        </w:rPr>
        <w:t>全</w:t>
      </w:r>
      <w:r>
        <w:rPr>
          <w:rFonts w:hint="eastAsia" w:ascii="黑体" w:hAnsi="黑体" w:eastAsia="黑体" w:cs="宋体"/>
          <w:bCs/>
          <w:kern w:val="0"/>
          <w:sz w:val="36"/>
          <w:szCs w:val="36"/>
          <w:lang w:val="en-US" w:eastAsia="zh-CN"/>
        </w:rPr>
        <w:t>国</w:t>
      </w:r>
      <w:r>
        <w:rPr>
          <w:rFonts w:hint="eastAsia" w:ascii="黑体" w:hAnsi="黑体" w:eastAsia="黑体" w:cs="宋体"/>
          <w:bCs/>
          <w:kern w:val="0"/>
          <w:sz w:val="36"/>
          <w:szCs w:val="36"/>
        </w:rPr>
        <w:t>经济普查公报（第四号）</w:t>
      </w:r>
    </w:p>
    <w:p>
      <w:pPr>
        <w:widowControl/>
        <w:spacing w:line="600" w:lineRule="exact"/>
        <w:jc w:val="center"/>
        <w:rPr>
          <w:rFonts w:hint="eastAsia" w:ascii="楷体_GB2312" w:hAnsi="宋体" w:eastAsia="楷体_GB2312" w:cs="宋体"/>
          <w:bCs/>
          <w:kern w:val="0"/>
          <w:sz w:val="36"/>
          <w:szCs w:val="32"/>
        </w:rPr>
      </w:pPr>
      <w:r>
        <w:rPr>
          <w:rFonts w:hint="eastAsia" w:ascii="楷体_GB2312" w:hAnsi="宋体" w:eastAsia="楷体_GB2312" w:cs="宋体"/>
          <w:bCs/>
          <w:kern w:val="0"/>
          <w:sz w:val="36"/>
          <w:szCs w:val="32"/>
        </w:rPr>
        <w:t>——第三产业基本情况之一</w:t>
      </w:r>
    </w:p>
    <w:p>
      <w:pPr>
        <w:widowControl/>
        <w:spacing w:line="600" w:lineRule="exact"/>
        <w:jc w:val="center"/>
        <w:rPr>
          <w:rFonts w:hint="eastAsia" w:ascii="楷体_GB2312" w:hAnsi="宋体" w:eastAsia="楷体_GB2312" w:cs="宋体"/>
          <w:bCs/>
          <w:kern w:val="0"/>
          <w:sz w:val="36"/>
          <w:szCs w:val="32"/>
        </w:rPr>
      </w:pPr>
      <w:r>
        <w:rPr>
          <w:rFonts w:hint="eastAsia" w:ascii="楷体_GB2312" w:hAnsi="宋体" w:eastAsia="楷体_GB2312" w:cs="宋体"/>
          <w:bCs/>
          <w:kern w:val="0"/>
          <w:sz w:val="36"/>
          <w:szCs w:val="32"/>
        </w:rPr>
        <w:t xml:space="preserve"> </w:t>
      </w:r>
    </w:p>
    <w:p>
      <w:pPr>
        <w:widowControl/>
        <w:spacing w:line="600" w:lineRule="exact"/>
        <w:jc w:val="center"/>
        <w:rPr>
          <w:rFonts w:ascii="楷体_GB2312" w:hAnsi="宋体" w:eastAsia="楷体_GB2312" w:cs="宋体"/>
          <w:kern w:val="0"/>
          <w:sz w:val="32"/>
          <w:szCs w:val="32"/>
        </w:rPr>
      </w:pPr>
      <w:r>
        <w:rPr>
          <w:rFonts w:hint="eastAsia" w:ascii="楷体_GB2312" w:hAnsi="楷体" w:eastAsia="楷体_GB2312" w:cs="宋体"/>
          <w:kern w:val="0"/>
          <w:sz w:val="32"/>
          <w:szCs w:val="32"/>
          <w:lang w:val="en-US" w:eastAsia="zh-CN"/>
        </w:rPr>
        <w:t>沁水县</w:t>
      </w:r>
      <w:r>
        <w:rPr>
          <w:rFonts w:hint="eastAsia" w:ascii="楷体_GB2312" w:hAnsi="楷体" w:eastAsia="楷体_GB2312" w:cs="宋体"/>
          <w:kern w:val="0"/>
          <w:sz w:val="32"/>
          <w:szCs w:val="32"/>
        </w:rPr>
        <w:t>统计局</w:t>
      </w:r>
    </w:p>
    <w:p>
      <w:pPr>
        <w:widowControl/>
        <w:spacing w:line="600" w:lineRule="exact"/>
        <w:jc w:val="center"/>
        <w:rPr>
          <w:rFonts w:ascii="楷体_GB2312" w:hAnsi="宋体" w:eastAsia="楷体_GB2312" w:cs="宋体"/>
          <w:kern w:val="0"/>
          <w:sz w:val="32"/>
          <w:szCs w:val="32"/>
        </w:rPr>
      </w:pPr>
      <w:r>
        <w:rPr>
          <w:rFonts w:hint="eastAsia" w:ascii="楷体_GB2312" w:hAnsi="楷体" w:eastAsia="楷体_GB2312" w:cs="宋体"/>
          <w:kern w:val="0"/>
          <w:sz w:val="32"/>
          <w:szCs w:val="32"/>
          <w:lang w:val="en-US" w:eastAsia="zh-CN"/>
        </w:rPr>
        <w:t>沁水县</w:t>
      </w:r>
      <w:r>
        <w:rPr>
          <w:rFonts w:hint="eastAsia" w:ascii="楷体_GB2312" w:hAnsi="楷体" w:eastAsia="楷体_GB2312" w:cs="宋体"/>
          <w:kern w:val="0"/>
          <w:sz w:val="32"/>
          <w:szCs w:val="32"/>
        </w:rPr>
        <w:t>第四次</w:t>
      </w:r>
      <w:r>
        <w:rPr>
          <w:rFonts w:hint="eastAsia" w:ascii="楷体_GB2312" w:hAnsi="楷体" w:eastAsia="楷体_GB2312" w:cs="宋体"/>
          <w:kern w:val="0"/>
          <w:sz w:val="32"/>
          <w:szCs w:val="32"/>
          <w:lang w:eastAsia="zh-CN"/>
        </w:rPr>
        <w:t>全</w:t>
      </w:r>
      <w:r>
        <w:rPr>
          <w:rFonts w:hint="eastAsia" w:ascii="楷体_GB2312" w:hAnsi="楷体" w:eastAsia="楷体_GB2312" w:cs="宋体"/>
          <w:kern w:val="0"/>
          <w:sz w:val="32"/>
          <w:szCs w:val="32"/>
          <w:lang w:val="en-US" w:eastAsia="zh-CN"/>
        </w:rPr>
        <w:t>国</w:t>
      </w:r>
      <w:r>
        <w:rPr>
          <w:rFonts w:hint="eastAsia" w:ascii="楷体_GB2312" w:hAnsi="楷体" w:eastAsia="楷体_GB2312" w:cs="宋体"/>
          <w:kern w:val="0"/>
          <w:sz w:val="32"/>
          <w:szCs w:val="32"/>
        </w:rPr>
        <w:t>经济普查领导小组办公室</w:t>
      </w:r>
    </w:p>
    <w:p>
      <w:pPr>
        <w:widowControl/>
        <w:spacing w:line="600" w:lineRule="exact"/>
        <w:jc w:val="center"/>
        <w:rPr>
          <w:rFonts w:ascii="宋体" w:hAnsi="宋体" w:cs="宋体"/>
          <w:kern w:val="0"/>
          <w:sz w:val="32"/>
          <w:szCs w:val="32"/>
        </w:rPr>
      </w:pPr>
      <w:r>
        <w:rPr>
          <w:rFonts w:hint="eastAsia" w:ascii="楷体_GB2312" w:hAnsi="楷体" w:eastAsia="楷体_GB2312" w:cs="宋体"/>
          <w:kern w:val="0"/>
          <w:sz w:val="32"/>
          <w:szCs w:val="32"/>
        </w:rPr>
        <w:t>20</w:t>
      </w:r>
      <w:r>
        <w:rPr>
          <w:rFonts w:hint="eastAsia" w:ascii="楷体_GB2312" w:hAnsi="楷体" w:eastAsia="楷体_GB2312" w:cs="宋体"/>
          <w:kern w:val="0"/>
          <w:sz w:val="32"/>
          <w:szCs w:val="32"/>
          <w:lang w:val="en-US" w:eastAsia="zh-CN"/>
        </w:rPr>
        <w:t>20</w:t>
      </w:r>
      <w:r>
        <w:rPr>
          <w:rFonts w:hint="eastAsia" w:ascii="楷体_GB2312" w:hAnsi="楷体" w:eastAsia="楷体_GB2312" w:cs="宋体"/>
          <w:kern w:val="0"/>
          <w:sz w:val="32"/>
          <w:szCs w:val="32"/>
        </w:rPr>
        <w:t>年</w:t>
      </w:r>
      <w:r>
        <w:rPr>
          <w:rFonts w:hint="eastAsia" w:ascii="楷体_GB2312" w:hAnsi="楷体" w:eastAsia="楷体_GB2312" w:cs="宋体"/>
          <w:kern w:val="0"/>
          <w:sz w:val="32"/>
          <w:szCs w:val="32"/>
          <w:lang w:val="en-US" w:eastAsia="zh-CN"/>
        </w:rPr>
        <w:t>5</w:t>
      </w:r>
      <w:r>
        <w:rPr>
          <w:rFonts w:hint="eastAsia" w:ascii="楷体_GB2312" w:hAnsi="楷体" w:eastAsia="楷体_GB2312" w:cs="宋体"/>
          <w:kern w:val="0"/>
          <w:sz w:val="32"/>
          <w:szCs w:val="32"/>
        </w:rPr>
        <w:t>月</w:t>
      </w:r>
      <w:r>
        <w:rPr>
          <w:rFonts w:hint="eastAsia" w:ascii="楷体_GB2312" w:hAnsi="楷体" w:eastAsia="楷体_GB2312" w:cs="宋体"/>
          <w:kern w:val="0"/>
          <w:sz w:val="32"/>
          <w:szCs w:val="32"/>
          <w:lang w:val="en-US" w:eastAsia="zh-CN"/>
        </w:rPr>
        <w:t>28</w:t>
      </w:r>
      <w:r>
        <w:rPr>
          <w:rFonts w:hint="eastAsia" w:ascii="楷体_GB2312" w:hAnsi="楷体" w:eastAsia="楷体_GB2312" w:cs="宋体"/>
          <w:kern w:val="0"/>
          <w:sz w:val="32"/>
          <w:szCs w:val="32"/>
        </w:rPr>
        <w:t>日</w:t>
      </w:r>
    </w:p>
    <w:p>
      <w:pPr>
        <w:widowControl/>
        <w:spacing w:line="600" w:lineRule="exact"/>
        <w:jc w:val="left"/>
        <w:rPr>
          <w:rFonts w:ascii="宋体" w:hAnsi="宋体" w:eastAsia="宋体"/>
          <w:kern w:val="0"/>
          <w:sz w:val="24"/>
          <w:szCs w:val="24"/>
        </w:rPr>
      </w:pPr>
      <w:r>
        <w:rPr>
          <w:rFonts w:hint="eastAsia"/>
          <w:kern w:val="0"/>
          <w:sz w:val="24"/>
          <w:szCs w:val="24"/>
        </w:rPr>
        <w:t xml:space="preserve"> </w:t>
      </w:r>
      <w:bookmarkStart w:id="0" w:name="_GoBack"/>
      <w:bookmarkEnd w:id="0"/>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cs="仿宋_GB2312"/>
          <w:sz w:val="32"/>
          <w:szCs w:val="32"/>
          <w:lang w:val="en-US" w:eastAsia="zh-CN"/>
        </w:rPr>
        <w:t>沁水县</w:t>
      </w:r>
      <w:r>
        <w:rPr>
          <w:rFonts w:hint="eastAsia" w:ascii="仿宋_GB2312" w:eastAsia="仿宋_GB2312" w:cs="仿宋_GB2312"/>
          <w:sz w:val="32"/>
          <w:szCs w:val="32"/>
        </w:rPr>
        <w:t>第四次</w:t>
      </w:r>
      <w:r>
        <w:rPr>
          <w:rFonts w:hint="eastAsia" w:ascii="仿宋_GB2312" w:eastAsia="仿宋_GB2312" w:cs="仿宋_GB2312"/>
          <w:sz w:val="32"/>
          <w:szCs w:val="32"/>
          <w:lang w:eastAsia="zh-CN"/>
        </w:rPr>
        <w:t>全</w:t>
      </w:r>
      <w:r>
        <w:rPr>
          <w:rFonts w:hint="eastAsia" w:ascii="仿宋_GB2312" w:eastAsia="仿宋_GB2312" w:cs="仿宋_GB2312"/>
          <w:sz w:val="32"/>
          <w:szCs w:val="32"/>
          <w:lang w:val="en-US" w:eastAsia="zh-CN"/>
        </w:rPr>
        <w:t>国</w:t>
      </w:r>
      <w:r>
        <w:rPr>
          <w:rFonts w:hint="eastAsia" w:ascii="仿宋_GB2312" w:eastAsia="仿宋_GB2312" w:cs="仿宋_GB2312"/>
          <w:sz w:val="32"/>
          <w:szCs w:val="32"/>
        </w:rPr>
        <w:t>经济普查结果，现将我</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rPr>
        <w:t>第三产业中批发和零售业，交通运输、仓储和邮政业，住宿和餐饮业，信息传输、软件和信息技术服务业，房地产业，租赁和商务服务业的主要数据公布如下：</w:t>
      </w:r>
    </w:p>
    <w:p>
      <w:pPr>
        <w:widowControl/>
        <w:spacing w:line="57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一、批发和零售业</w:t>
      </w:r>
    </w:p>
    <w:p>
      <w:pPr>
        <w:widowControl/>
        <w:spacing w:line="60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（一）企业法人单位数和从业人员。</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2018年末，全</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rPr>
        <w:t>共有批发和零售业企业法人单位</w:t>
      </w:r>
      <w:r>
        <w:rPr>
          <w:rFonts w:hint="eastAsia" w:ascii="仿宋_GB2312" w:eastAsia="仿宋_GB2312" w:cs="仿宋_GB2312"/>
          <w:sz w:val="32"/>
          <w:szCs w:val="32"/>
          <w:lang w:val="en-US" w:eastAsia="zh-CN"/>
        </w:rPr>
        <w:t>760</w:t>
      </w:r>
      <w:r>
        <w:rPr>
          <w:rFonts w:hint="eastAsia" w:ascii="仿宋_GB2312" w:eastAsia="仿宋_GB2312" w:cs="仿宋_GB2312"/>
          <w:sz w:val="32"/>
          <w:szCs w:val="32"/>
        </w:rPr>
        <w:t>个，从业人员</w:t>
      </w:r>
      <w:r>
        <w:rPr>
          <w:rFonts w:hint="eastAsia" w:ascii="仿宋_GB2312" w:eastAsia="仿宋_GB2312" w:cs="仿宋_GB2312"/>
          <w:sz w:val="32"/>
          <w:szCs w:val="32"/>
          <w:lang w:val="en-US" w:eastAsia="zh-CN"/>
        </w:rPr>
        <w:t>2918</w:t>
      </w:r>
      <w:r>
        <w:rPr>
          <w:rFonts w:hint="eastAsia" w:ascii="仿宋_GB2312" w:eastAsia="仿宋_GB2312" w:cs="仿宋_GB2312"/>
          <w:sz w:val="32"/>
          <w:szCs w:val="32"/>
        </w:rPr>
        <w:t>人，分别比2013年末增长</w:t>
      </w:r>
      <w:r>
        <w:rPr>
          <w:rFonts w:hint="eastAsia" w:ascii="仿宋_GB2312" w:eastAsia="仿宋_GB2312" w:cs="仿宋_GB2312"/>
          <w:sz w:val="32"/>
          <w:szCs w:val="32"/>
          <w:lang w:val="en-US" w:eastAsia="zh-CN"/>
        </w:rPr>
        <w:t>210.2</w:t>
      </w:r>
      <w:r>
        <w:rPr>
          <w:rFonts w:hint="eastAsia" w:ascii="仿宋_GB2312" w:eastAsia="仿宋_GB2312" w:cs="仿宋_GB2312"/>
          <w:sz w:val="32"/>
          <w:szCs w:val="32"/>
        </w:rPr>
        <w:t>%和</w:t>
      </w:r>
      <w:r>
        <w:rPr>
          <w:rFonts w:hint="eastAsia" w:ascii="仿宋_GB2312" w:eastAsia="仿宋_GB2312" w:cs="仿宋_GB2312"/>
          <w:sz w:val="32"/>
          <w:szCs w:val="32"/>
          <w:lang w:val="en-US" w:eastAsia="zh-CN"/>
        </w:rPr>
        <w:t>0.48</w:t>
      </w:r>
      <w:r>
        <w:rPr>
          <w:rFonts w:hint="eastAsia" w:ascii="仿宋_GB2312" w:eastAsia="仿宋_GB2312" w:cs="仿宋_GB2312"/>
          <w:sz w:val="32"/>
          <w:szCs w:val="32"/>
        </w:rPr>
        <w:t>%。</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在批发和零售业企业法人单位中，批发业占</w:t>
      </w:r>
      <w:r>
        <w:rPr>
          <w:rFonts w:hint="eastAsia" w:ascii="仿宋_GB2312" w:eastAsia="仿宋_GB2312" w:cs="仿宋_GB2312"/>
          <w:sz w:val="32"/>
          <w:szCs w:val="32"/>
          <w:lang w:val="en-US" w:eastAsia="zh-CN"/>
        </w:rPr>
        <w:t>36.58</w:t>
      </w:r>
      <w:r>
        <w:rPr>
          <w:rFonts w:hint="eastAsia" w:ascii="仿宋_GB2312" w:eastAsia="仿宋_GB2312" w:cs="仿宋_GB2312"/>
          <w:sz w:val="32"/>
          <w:szCs w:val="32"/>
        </w:rPr>
        <w:t>%，零售占</w:t>
      </w:r>
      <w:r>
        <w:rPr>
          <w:rFonts w:hint="eastAsia" w:ascii="仿宋_GB2312" w:eastAsia="仿宋_GB2312" w:cs="仿宋_GB2312"/>
          <w:sz w:val="32"/>
          <w:szCs w:val="32"/>
          <w:lang w:val="en-US" w:eastAsia="zh-CN"/>
        </w:rPr>
        <w:t>63.42</w:t>
      </w:r>
      <w:r>
        <w:rPr>
          <w:rFonts w:hint="eastAsia" w:ascii="仿宋_GB2312" w:eastAsia="仿宋_GB2312" w:cs="仿宋_GB2312"/>
          <w:sz w:val="32"/>
          <w:szCs w:val="32"/>
        </w:rPr>
        <w:t>%。在批发和零售业企业法人单位从业人员中，批发业占</w:t>
      </w:r>
      <w:r>
        <w:rPr>
          <w:rFonts w:hint="eastAsia" w:ascii="仿宋_GB2312" w:eastAsia="仿宋_GB2312" w:cs="仿宋_GB2312"/>
          <w:sz w:val="32"/>
          <w:szCs w:val="32"/>
          <w:lang w:val="en-US" w:eastAsia="zh-CN"/>
        </w:rPr>
        <w:t>38.25</w:t>
      </w:r>
      <w:r>
        <w:rPr>
          <w:rFonts w:hint="eastAsia" w:ascii="仿宋_GB2312" w:eastAsia="仿宋_GB2312" w:cs="仿宋_GB2312"/>
          <w:sz w:val="32"/>
          <w:szCs w:val="32"/>
        </w:rPr>
        <w:t>%，零售业占</w:t>
      </w:r>
      <w:r>
        <w:rPr>
          <w:rFonts w:hint="eastAsia" w:ascii="仿宋_GB2312" w:eastAsia="仿宋_GB2312" w:cs="仿宋_GB2312"/>
          <w:sz w:val="32"/>
          <w:szCs w:val="32"/>
          <w:lang w:val="en-US" w:eastAsia="zh-CN"/>
        </w:rPr>
        <w:t>61.75</w:t>
      </w:r>
      <w:r>
        <w:rPr>
          <w:rFonts w:hint="eastAsia" w:ascii="仿宋_GB2312" w:eastAsia="仿宋_GB2312" w:cs="仿宋_GB2312"/>
          <w:sz w:val="32"/>
          <w:szCs w:val="32"/>
        </w:rPr>
        <w:t>%（详见表4-1）。</w:t>
      </w:r>
    </w:p>
    <w:tbl>
      <w:tblPr>
        <w:tblStyle w:val="3"/>
        <w:tblW w:w="83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4996"/>
        <w:gridCol w:w="1913"/>
        <w:gridCol w:w="13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13" w:type="dxa"/>
            <w:gridSpan w:val="4"/>
            <w:tcBorders>
              <w:top w:val="nil"/>
              <w:left w:val="nil"/>
              <w:bottom w:val="single" w:color="auto" w:sz="12" w:space="0"/>
              <w:right w:val="nil"/>
            </w:tcBorders>
            <w:shd w:val="clear" w:color="auto" w:fill="FFFFFF"/>
            <w:vAlign w:val="center"/>
          </w:tcPr>
          <w:p>
            <w:pPr>
              <w:widowControl/>
              <w:spacing w:line="240" w:lineRule="exac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4-1</w:t>
            </w:r>
            <w:r>
              <w:rPr>
                <w:rFonts w:hint="eastAsia" w:ascii="宋体" w:hAnsi="宋体" w:eastAsia="宋体"/>
                <w:b/>
                <w:bCs/>
                <w:kern w:val="0"/>
                <w:sz w:val="24"/>
                <w:szCs w:val="24"/>
              </w:rPr>
              <w:t xml:space="preserve"> 按行业中类分组的批发和零售业企业法人单位和从业人员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003" w:type="dxa"/>
            <w:gridSpan w:val="2"/>
            <w:tcBorders>
              <w:top w:val="nil"/>
              <w:left w:val="nil"/>
              <w:bottom w:val="single" w:color="auto" w:sz="4" w:space="0"/>
              <w:right w:val="single" w:color="auto" w:sz="4" w:space="0"/>
            </w:tcBorders>
            <w:vAlign w:val="center"/>
          </w:tcPr>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　</w:t>
            </w:r>
          </w:p>
        </w:tc>
        <w:tc>
          <w:tcPr>
            <w:tcW w:w="1913" w:type="dxa"/>
            <w:tcBorders>
              <w:top w:val="nil"/>
              <w:left w:val="nil"/>
              <w:bottom w:val="single" w:color="auto" w:sz="4" w:space="0"/>
              <w:right w:val="single" w:color="auto" w:sz="4" w:space="0"/>
            </w:tcBorders>
            <w:vAlign w:val="center"/>
          </w:tcPr>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企业法人单位</w:t>
            </w:r>
          </w:p>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（个）</w:t>
            </w:r>
          </w:p>
        </w:tc>
        <w:tc>
          <w:tcPr>
            <w:tcW w:w="1397" w:type="dxa"/>
            <w:tcBorders>
              <w:top w:val="nil"/>
              <w:left w:val="nil"/>
              <w:bottom w:val="single" w:color="auto" w:sz="4" w:space="0"/>
              <w:right w:val="nil"/>
            </w:tcBorders>
            <w:vAlign w:val="center"/>
          </w:tcPr>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从业人员</w:t>
            </w:r>
          </w:p>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val="en-US" w:eastAsia="zh-CN"/>
              </w:rPr>
              <w:t>人</w:t>
            </w:r>
            <w:r>
              <w:rPr>
                <w:rFonts w:hint="eastAsia" w:ascii="宋体" w:hAnsi="宋体" w:eastAsia="宋体"/>
                <w:b/>
                <w:bCs/>
                <w:kern w:val="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eastAsia="宋体"/>
                <w:kern w:val="0"/>
                <w:sz w:val="18"/>
                <w:szCs w:val="18"/>
              </w:rPr>
            </w:pPr>
            <w:r>
              <w:rPr>
                <w:rFonts w:hint="eastAsia" w:ascii="宋体" w:hAnsi="宋体" w:eastAsia="宋体"/>
                <w:b/>
                <w:bCs/>
                <w:kern w:val="0"/>
              </w:rPr>
              <w:t>合  计</w:t>
            </w:r>
          </w:p>
        </w:tc>
        <w:tc>
          <w:tcPr>
            <w:tcW w:w="1913" w:type="dxa"/>
            <w:tcBorders>
              <w:top w:val="single" w:color="auto" w:sz="4" w:space="0"/>
              <w:left w:val="nil"/>
              <w:bottom w:val="nil"/>
              <w:right w:val="single" w:color="auto" w:sz="4" w:space="0"/>
            </w:tcBorders>
            <w:vAlign w:val="center"/>
          </w:tcPr>
          <w:p>
            <w:pPr>
              <w:spacing w:line="240" w:lineRule="exact"/>
              <w:jc w:val="right"/>
              <w:rPr>
                <w:rFonts w:hint="default" w:eastAsia="黑体"/>
                <w:b/>
                <w:bCs/>
                <w:lang w:val="en-US" w:eastAsia="zh-CN"/>
              </w:rPr>
            </w:pPr>
            <w:r>
              <w:rPr>
                <w:rFonts w:hint="eastAsia"/>
                <w:b/>
                <w:bCs/>
                <w:lang w:val="en-US" w:eastAsia="zh-CN"/>
              </w:rPr>
              <w:t>760</w:t>
            </w:r>
          </w:p>
        </w:tc>
        <w:tc>
          <w:tcPr>
            <w:tcW w:w="1397" w:type="dxa"/>
            <w:tcBorders>
              <w:top w:val="single" w:color="auto" w:sz="4" w:space="0"/>
              <w:left w:val="nil"/>
              <w:bottom w:val="nil"/>
              <w:right w:val="nil"/>
            </w:tcBorders>
            <w:vAlign w:val="center"/>
          </w:tcPr>
          <w:p>
            <w:pPr>
              <w:spacing w:line="240" w:lineRule="exact"/>
              <w:jc w:val="right"/>
              <w:rPr>
                <w:rFonts w:hint="default" w:eastAsia="黑体"/>
                <w:b/>
                <w:bCs/>
                <w:lang w:val="en-US" w:eastAsia="zh-CN"/>
              </w:rPr>
            </w:pPr>
            <w:r>
              <w:rPr>
                <w:rFonts w:hint="eastAsia"/>
                <w:b/>
                <w:bCs/>
                <w:lang w:val="en-US" w:eastAsia="zh-CN"/>
              </w:rPr>
              <w:t>2918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b/>
                <w:bCs/>
                <w:kern w:val="0"/>
                <w:sz w:val="18"/>
                <w:szCs w:val="18"/>
              </w:rPr>
            </w:pPr>
            <w:r>
              <w:rPr>
                <w:rFonts w:hint="eastAsia" w:ascii="宋体" w:hAnsi="宋体" w:eastAsia="宋体"/>
                <w:b/>
                <w:bCs/>
                <w:kern w:val="0"/>
              </w:rPr>
              <w:t>批发业</w:t>
            </w:r>
          </w:p>
        </w:tc>
        <w:tc>
          <w:tcPr>
            <w:tcW w:w="1913" w:type="dxa"/>
            <w:tcBorders>
              <w:top w:val="nil"/>
              <w:left w:val="nil"/>
              <w:bottom w:val="nil"/>
              <w:right w:val="single" w:color="auto" w:sz="4" w:space="0"/>
            </w:tcBorders>
            <w:vAlign w:val="center"/>
          </w:tcPr>
          <w:p>
            <w:pPr>
              <w:spacing w:line="240" w:lineRule="exact"/>
              <w:jc w:val="right"/>
              <w:rPr>
                <w:rFonts w:hint="default" w:eastAsia="黑体"/>
                <w:b/>
                <w:bCs/>
                <w:lang w:val="en-US" w:eastAsia="zh-CN"/>
              </w:rPr>
            </w:pPr>
            <w:r>
              <w:rPr>
                <w:rFonts w:hint="eastAsia"/>
                <w:b/>
                <w:bCs/>
                <w:lang w:val="en-US" w:eastAsia="zh-CN"/>
              </w:rPr>
              <w:t>278</w:t>
            </w:r>
          </w:p>
        </w:tc>
        <w:tc>
          <w:tcPr>
            <w:tcW w:w="1397" w:type="dxa"/>
            <w:tcBorders>
              <w:top w:val="nil"/>
              <w:left w:val="nil"/>
              <w:bottom w:val="nil"/>
              <w:right w:val="nil"/>
            </w:tcBorders>
            <w:vAlign w:val="center"/>
          </w:tcPr>
          <w:p>
            <w:pPr>
              <w:spacing w:line="240" w:lineRule="exact"/>
              <w:jc w:val="right"/>
              <w:rPr>
                <w:rFonts w:hint="default" w:eastAsia="黑体"/>
                <w:b/>
                <w:bCs/>
                <w:lang w:val="en-US" w:eastAsia="zh-CN"/>
              </w:rPr>
            </w:pPr>
            <w:r>
              <w:rPr>
                <w:rFonts w:hint="eastAsia"/>
                <w:b/>
                <w:bCs/>
                <w:lang w:val="en-US" w:eastAsia="zh-CN"/>
              </w:rPr>
              <w:t>1116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农、林、牧、渔产品批发</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19</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食品、饮料及烟草制品批发</w:t>
            </w:r>
          </w:p>
        </w:tc>
        <w:tc>
          <w:tcPr>
            <w:tcW w:w="1913"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8</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纺织、服装及家庭用品批发</w:t>
            </w:r>
          </w:p>
        </w:tc>
        <w:tc>
          <w:tcPr>
            <w:tcW w:w="1913"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5</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right="57"/>
              <w:rPr>
                <w:rFonts w:ascii="宋体" w:hAnsi="宋体" w:eastAsia="宋体"/>
                <w:kern w:val="0"/>
                <w:sz w:val="18"/>
                <w:szCs w:val="18"/>
              </w:rPr>
            </w:pPr>
            <w:r>
              <w:rPr>
                <w:rFonts w:hint="eastAsia" w:ascii="宋体" w:hAnsi="宋体" w:eastAsia="宋体"/>
                <w:kern w:val="0"/>
              </w:rPr>
              <w:t xml:space="preserve"> 文化、体育用品及器材批发</w:t>
            </w:r>
          </w:p>
        </w:tc>
        <w:tc>
          <w:tcPr>
            <w:tcW w:w="1913"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1</w:t>
            </w:r>
          </w:p>
        </w:tc>
        <w:tc>
          <w:tcPr>
            <w:tcW w:w="1397"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医药及医疗器材批发</w:t>
            </w:r>
          </w:p>
        </w:tc>
        <w:tc>
          <w:tcPr>
            <w:tcW w:w="1913"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2</w:t>
            </w:r>
          </w:p>
        </w:tc>
        <w:tc>
          <w:tcPr>
            <w:tcW w:w="1397"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矿产品、建材及化工产品批发</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175</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678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机械设备、五金产品及电子产品批发</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49</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111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贸易经纪与代理</w:t>
            </w:r>
          </w:p>
        </w:tc>
        <w:tc>
          <w:tcPr>
            <w:tcW w:w="1913"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w:t>
            </w:r>
          </w:p>
        </w:tc>
        <w:tc>
          <w:tcPr>
            <w:tcW w:w="1397"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其他批发业</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19</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b/>
                <w:bCs/>
                <w:kern w:val="0"/>
                <w:sz w:val="18"/>
                <w:szCs w:val="18"/>
              </w:rPr>
            </w:pPr>
            <w:r>
              <w:rPr>
                <w:rFonts w:hint="eastAsia" w:ascii="宋体" w:hAnsi="宋体" w:eastAsia="宋体"/>
                <w:b/>
                <w:bCs/>
                <w:kern w:val="0"/>
              </w:rPr>
              <w:t>零售业</w:t>
            </w:r>
          </w:p>
        </w:tc>
        <w:tc>
          <w:tcPr>
            <w:tcW w:w="1913" w:type="dxa"/>
            <w:tcBorders>
              <w:top w:val="nil"/>
              <w:left w:val="nil"/>
              <w:bottom w:val="nil"/>
              <w:right w:val="single" w:color="auto" w:sz="4" w:space="0"/>
            </w:tcBorders>
            <w:vAlign w:val="center"/>
          </w:tcPr>
          <w:p>
            <w:pPr>
              <w:spacing w:line="240" w:lineRule="exact"/>
              <w:jc w:val="right"/>
              <w:rPr>
                <w:rFonts w:hint="default" w:eastAsia="黑体"/>
                <w:b/>
                <w:bCs/>
                <w:lang w:val="en-US" w:eastAsia="zh-CN"/>
              </w:rPr>
            </w:pPr>
            <w:r>
              <w:rPr>
                <w:rFonts w:hint="eastAsia"/>
                <w:b/>
                <w:bCs/>
                <w:lang w:val="en-US" w:eastAsia="zh-CN"/>
              </w:rPr>
              <w:t>482</w:t>
            </w:r>
          </w:p>
        </w:tc>
        <w:tc>
          <w:tcPr>
            <w:tcW w:w="1397" w:type="dxa"/>
            <w:tcBorders>
              <w:top w:val="nil"/>
              <w:left w:val="nil"/>
              <w:bottom w:val="nil"/>
              <w:right w:val="nil"/>
            </w:tcBorders>
            <w:vAlign w:val="center"/>
          </w:tcPr>
          <w:p>
            <w:pPr>
              <w:spacing w:line="240" w:lineRule="exact"/>
              <w:jc w:val="right"/>
              <w:rPr>
                <w:rFonts w:hint="default" w:eastAsia="黑体"/>
                <w:b/>
                <w:bCs/>
                <w:lang w:val="en-US" w:eastAsia="zh-CN"/>
              </w:rPr>
            </w:pPr>
            <w:r>
              <w:rPr>
                <w:rFonts w:hint="eastAsia"/>
                <w:b/>
                <w:bCs/>
                <w:lang w:val="en-US" w:eastAsia="zh-CN"/>
              </w:rPr>
              <w:t>1802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综合零售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45</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369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食品、饮料及烟草制品专门零售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38</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纺织、服装及日用品专门零售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30</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103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文化、体育用品及器材专门零售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30</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医药及医疗器材专门零售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28</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137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汽车、摩托车、零配件和燃料及其他动力销售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65</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家用电器及电子产品专门零售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82</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五金、家具及室内装饰材料专门零售</w:t>
            </w:r>
          </w:p>
        </w:tc>
        <w:tc>
          <w:tcPr>
            <w:tcW w:w="1913"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115</w:t>
            </w:r>
          </w:p>
        </w:tc>
        <w:tc>
          <w:tcPr>
            <w:tcW w:w="1397"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4996" w:type="dxa"/>
            <w:tcBorders>
              <w:top w:val="nil"/>
              <w:left w:val="nil"/>
              <w:bottom w:val="single" w:color="auto" w:sz="12" w:space="0"/>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货摊、无店铺及其他零售业</w:t>
            </w:r>
          </w:p>
        </w:tc>
        <w:tc>
          <w:tcPr>
            <w:tcW w:w="1913" w:type="dxa"/>
            <w:tcBorders>
              <w:top w:val="nil"/>
              <w:left w:val="nil"/>
              <w:bottom w:val="single" w:color="auto" w:sz="12" w:space="0"/>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49</w:t>
            </w:r>
          </w:p>
        </w:tc>
        <w:tc>
          <w:tcPr>
            <w:tcW w:w="1397" w:type="dxa"/>
            <w:tcBorders>
              <w:top w:val="nil"/>
              <w:left w:val="nil"/>
              <w:bottom w:val="single" w:color="auto" w:sz="12" w:space="0"/>
              <w:right w:val="nil"/>
            </w:tcBorders>
            <w:vAlign w:val="center"/>
          </w:tcPr>
          <w:p>
            <w:pPr>
              <w:spacing w:line="240" w:lineRule="exact"/>
              <w:jc w:val="right"/>
              <w:rPr>
                <w:rFonts w:hint="default" w:eastAsia="黑体"/>
                <w:lang w:val="en-US" w:eastAsia="zh-CN"/>
              </w:rPr>
            </w:pPr>
            <w:r>
              <w:rPr>
                <w:rFonts w:hint="eastAsia"/>
                <w:lang w:val="en-US" w:eastAsia="zh-CN"/>
              </w:rPr>
              <w:t>127</w:t>
            </w:r>
          </w:p>
        </w:tc>
      </w:tr>
    </w:tbl>
    <w:p>
      <w:pPr>
        <w:widowControl/>
        <w:spacing w:line="240" w:lineRule="atLeast"/>
        <w:ind w:firstLine="200" w:firstLineChars="200"/>
        <w:rPr>
          <w:rFonts w:ascii="仿宋_GB2312" w:hAnsi="宋体"/>
          <w:kern w:val="0"/>
          <w:sz w:val="10"/>
          <w:szCs w:val="10"/>
        </w:rPr>
      </w:pPr>
      <w:r>
        <w:rPr>
          <w:rFonts w:ascii="仿宋_GB2312" w:hAnsi="宋体"/>
          <w:kern w:val="0"/>
          <w:sz w:val="10"/>
          <w:szCs w:val="10"/>
        </w:rPr>
        <w:t xml:space="preserve"> </w:t>
      </w:r>
    </w:p>
    <w:p>
      <w:pPr>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在批发和零售业企业法人单位中，内资企业占</w:t>
      </w:r>
      <w:r>
        <w:rPr>
          <w:rFonts w:hint="eastAsia" w:ascii="仿宋_GB2312" w:eastAsia="仿宋_GB2312" w:cs="仿宋_GB2312"/>
          <w:sz w:val="32"/>
          <w:szCs w:val="32"/>
          <w:lang w:val="en-US" w:eastAsia="zh-CN"/>
        </w:rPr>
        <w:t>99.87</w:t>
      </w:r>
      <w:r>
        <w:rPr>
          <w:rFonts w:hint="eastAsia" w:ascii="仿宋_GB2312" w:eastAsia="仿宋_GB2312" w:cs="仿宋_GB2312"/>
          <w:sz w:val="32"/>
          <w:szCs w:val="32"/>
        </w:rPr>
        <w:t>%，外商投资企业占</w:t>
      </w:r>
      <w:r>
        <w:rPr>
          <w:rFonts w:hint="eastAsia" w:ascii="仿宋_GB2312" w:eastAsia="仿宋_GB2312" w:cs="仿宋_GB2312"/>
          <w:sz w:val="32"/>
          <w:szCs w:val="32"/>
          <w:lang w:val="en-US" w:eastAsia="zh-CN"/>
        </w:rPr>
        <w:t>0.13</w:t>
      </w:r>
      <w:r>
        <w:rPr>
          <w:rFonts w:hint="eastAsia" w:ascii="仿宋_GB2312" w:eastAsia="仿宋_GB2312" w:cs="仿宋_GB2312"/>
          <w:sz w:val="32"/>
          <w:szCs w:val="32"/>
        </w:rPr>
        <w:t>%。</w:t>
      </w:r>
    </w:p>
    <w:p>
      <w:pPr>
        <w:snapToGrid w:val="0"/>
        <w:spacing w:line="600" w:lineRule="exact"/>
        <w:ind w:firstLine="640" w:firstLineChars="200"/>
        <w:rPr>
          <w:rFonts w:ascii="仿宋_GB2312" w:hAnsi="宋体"/>
          <w:kern w:val="0"/>
          <w:sz w:val="10"/>
          <w:szCs w:val="10"/>
        </w:rPr>
      </w:pPr>
      <w:r>
        <w:rPr>
          <w:rFonts w:hint="eastAsia" w:ascii="仿宋_GB2312" w:eastAsia="仿宋_GB2312" w:cs="仿宋_GB2312"/>
          <w:sz w:val="32"/>
          <w:szCs w:val="32"/>
        </w:rPr>
        <w:t>在批发和零售业企业法人单位从业人员中，内资企业占</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详见表4-2）。</w:t>
      </w:r>
    </w:p>
    <w:p>
      <w:pPr>
        <w:widowControl/>
        <w:spacing w:line="240" w:lineRule="atLeast"/>
        <w:ind w:firstLine="200" w:firstLineChars="200"/>
        <w:rPr>
          <w:rFonts w:ascii="仿宋_GB2312" w:hAnsi="宋体"/>
          <w:kern w:val="0"/>
          <w:sz w:val="10"/>
          <w:szCs w:val="10"/>
        </w:rPr>
      </w:pPr>
    </w:p>
    <w:tbl>
      <w:tblPr>
        <w:tblStyle w:val="3"/>
        <w:tblW w:w="831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560"/>
        <w:gridCol w:w="2568"/>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14" w:type="dxa"/>
            <w:gridSpan w:val="4"/>
            <w:tcBorders>
              <w:top w:val="nil"/>
              <w:left w:val="nil"/>
              <w:bottom w:val="single" w:color="auto" w:sz="12" w:space="0"/>
              <w:right w:val="nil"/>
            </w:tcBorders>
            <w:shd w:val="clear" w:color="auto" w:fill="FFFFFF"/>
            <w:vAlign w:val="center"/>
          </w:tcPr>
          <w:p>
            <w:pPr>
              <w:widowControl/>
              <w:spacing w:line="240" w:lineRule="exac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4-2</w:t>
            </w:r>
            <w:r>
              <w:rPr>
                <w:rFonts w:hint="eastAsia" w:ascii="宋体" w:hAnsi="宋体" w:eastAsia="宋体"/>
                <w:b/>
                <w:bCs/>
                <w:kern w:val="0"/>
                <w:sz w:val="24"/>
                <w:szCs w:val="24"/>
              </w:rPr>
              <w:t xml:space="preserve"> 按登记注册类型分组的批发和零售业企业法人单位和从业人员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567" w:type="dxa"/>
            <w:gridSpan w:val="2"/>
            <w:tcBorders>
              <w:top w:val="nil"/>
              <w:left w:val="nil"/>
              <w:bottom w:val="single" w:color="auto" w:sz="4" w:space="0"/>
              <w:right w:val="single" w:color="auto" w:sz="4" w:space="0"/>
            </w:tcBorders>
            <w:vAlign w:val="center"/>
          </w:tcPr>
          <w:p>
            <w:pPr>
              <w:widowControl/>
              <w:spacing w:line="240" w:lineRule="exac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2568" w:type="dxa"/>
            <w:tcBorders>
              <w:top w:val="nil"/>
              <w:left w:val="nil"/>
              <w:bottom w:val="single" w:color="auto" w:sz="4" w:space="0"/>
              <w:right w:val="single" w:color="auto" w:sz="4" w:space="0"/>
            </w:tcBorders>
            <w:vAlign w:val="center"/>
          </w:tcPr>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企业法人单位</w:t>
            </w:r>
          </w:p>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（个）</w:t>
            </w:r>
          </w:p>
        </w:tc>
        <w:tc>
          <w:tcPr>
            <w:tcW w:w="2179" w:type="dxa"/>
            <w:tcBorders>
              <w:top w:val="nil"/>
              <w:left w:val="nil"/>
              <w:bottom w:val="single" w:color="auto" w:sz="4" w:space="0"/>
              <w:right w:val="nil"/>
            </w:tcBorders>
            <w:vAlign w:val="center"/>
          </w:tcPr>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从业人员</w:t>
            </w:r>
          </w:p>
          <w:p>
            <w:pPr>
              <w:widowControl/>
              <w:spacing w:line="240" w:lineRule="exact"/>
              <w:ind w:left="57" w:right="57"/>
              <w:jc w:val="center"/>
              <w:rPr>
                <w:rFonts w:ascii="宋体" w:hAnsi="宋体" w:eastAsia="宋体"/>
                <w:b/>
                <w:bCs/>
                <w:kern w:val="0"/>
                <w:sz w:val="18"/>
                <w:szCs w:val="18"/>
              </w:rPr>
            </w:pPr>
            <w:r>
              <w:rPr>
                <w:rFonts w:hint="eastAsia" w:ascii="宋体" w:hAnsi="宋体" w:eastAsia="宋体"/>
                <w:b/>
                <w:bCs/>
                <w:kern w:val="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eastAsia="宋体"/>
                <w:kern w:val="0"/>
                <w:sz w:val="18"/>
                <w:szCs w:val="18"/>
              </w:rPr>
            </w:pPr>
            <w:r>
              <w:rPr>
                <w:rFonts w:hint="eastAsia" w:ascii="宋体" w:hAnsi="宋体" w:eastAsia="宋体"/>
                <w:b/>
                <w:bCs/>
                <w:kern w:val="0"/>
              </w:rPr>
              <w:t>合 计</w:t>
            </w:r>
          </w:p>
        </w:tc>
        <w:tc>
          <w:tcPr>
            <w:tcW w:w="2568" w:type="dxa"/>
            <w:tcBorders>
              <w:top w:val="single" w:color="auto" w:sz="4" w:space="0"/>
              <w:left w:val="nil"/>
              <w:bottom w:val="nil"/>
              <w:right w:val="single" w:color="auto" w:sz="4" w:space="0"/>
            </w:tcBorders>
            <w:vAlign w:val="center"/>
          </w:tcPr>
          <w:p>
            <w:pPr>
              <w:spacing w:line="240" w:lineRule="exact"/>
              <w:jc w:val="right"/>
              <w:rPr>
                <w:rFonts w:hint="default" w:eastAsia="黑体"/>
                <w:b/>
                <w:bCs/>
                <w:lang w:val="en-US" w:eastAsia="zh-CN"/>
              </w:rPr>
            </w:pPr>
            <w:r>
              <w:rPr>
                <w:rFonts w:hint="eastAsia"/>
                <w:b/>
                <w:bCs/>
                <w:lang w:val="en-US" w:eastAsia="zh-CN"/>
              </w:rPr>
              <w:t>760</w:t>
            </w:r>
          </w:p>
        </w:tc>
        <w:tc>
          <w:tcPr>
            <w:tcW w:w="2179" w:type="dxa"/>
            <w:tcBorders>
              <w:top w:val="single" w:color="auto" w:sz="4" w:space="0"/>
              <w:left w:val="nil"/>
              <w:bottom w:val="nil"/>
              <w:right w:val="nil"/>
            </w:tcBorders>
            <w:vAlign w:val="center"/>
          </w:tcPr>
          <w:p>
            <w:pPr>
              <w:spacing w:line="240" w:lineRule="exact"/>
              <w:jc w:val="right"/>
              <w:rPr>
                <w:rFonts w:hint="default" w:eastAsia="黑体"/>
                <w:b/>
                <w:bCs/>
                <w:lang w:val="en-US" w:eastAsia="zh-CN"/>
              </w:rPr>
            </w:pPr>
            <w:r>
              <w:rPr>
                <w:rFonts w:hint="eastAsia"/>
                <w:b/>
                <w:bCs/>
                <w:lang w:val="en-US" w:eastAsia="zh-CN"/>
              </w:rPr>
              <w:t>2918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b/>
                <w:bCs/>
                <w:kern w:val="0"/>
                <w:sz w:val="18"/>
                <w:szCs w:val="18"/>
              </w:rPr>
            </w:pPr>
            <w:r>
              <w:rPr>
                <w:rFonts w:hint="eastAsia" w:ascii="宋体" w:hAnsi="宋体" w:eastAsia="宋体"/>
                <w:b/>
                <w:bCs/>
                <w:kern w:val="0"/>
              </w:rPr>
              <w:t>内资企业</w:t>
            </w:r>
          </w:p>
        </w:tc>
        <w:tc>
          <w:tcPr>
            <w:tcW w:w="2568" w:type="dxa"/>
            <w:tcBorders>
              <w:top w:val="nil"/>
              <w:left w:val="nil"/>
              <w:bottom w:val="nil"/>
              <w:right w:val="single" w:color="auto" w:sz="4" w:space="0"/>
            </w:tcBorders>
            <w:vAlign w:val="center"/>
          </w:tcPr>
          <w:p>
            <w:pPr>
              <w:spacing w:line="240" w:lineRule="exact"/>
              <w:jc w:val="right"/>
              <w:rPr>
                <w:rFonts w:hint="default" w:eastAsia="黑体"/>
                <w:b/>
                <w:bCs/>
                <w:lang w:val="en-US" w:eastAsia="zh-CN"/>
              </w:rPr>
            </w:pPr>
            <w:r>
              <w:rPr>
                <w:rFonts w:hint="eastAsia"/>
                <w:b/>
                <w:bCs/>
                <w:lang w:val="en-US" w:eastAsia="zh-CN"/>
              </w:rPr>
              <w:t>759</w:t>
            </w:r>
          </w:p>
        </w:tc>
        <w:tc>
          <w:tcPr>
            <w:tcW w:w="2179" w:type="dxa"/>
            <w:tcBorders>
              <w:top w:val="nil"/>
              <w:left w:val="nil"/>
              <w:bottom w:val="nil"/>
              <w:right w:val="nil"/>
            </w:tcBorders>
            <w:vAlign w:val="center"/>
          </w:tcPr>
          <w:p>
            <w:pPr>
              <w:spacing w:line="240" w:lineRule="exact"/>
              <w:jc w:val="right"/>
              <w:rPr>
                <w:rFonts w:hint="default" w:eastAsia="黑体"/>
                <w:b/>
                <w:bCs/>
                <w:lang w:val="en-US" w:eastAsia="zh-CN"/>
              </w:rPr>
            </w:pPr>
            <w:r>
              <w:rPr>
                <w:rFonts w:hint="eastAsia"/>
                <w:b/>
                <w:bCs/>
                <w:lang w:val="en-US" w:eastAsia="zh-CN"/>
              </w:rPr>
              <w:t>2918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国有企业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1</w:t>
            </w:r>
          </w:p>
        </w:tc>
        <w:tc>
          <w:tcPr>
            <w:tcW w:w="2179"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集体企业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9</w:t>
            </w:r>
          </w:p>
        </w:tc>
        <w:tc>
          <w:tcPr>
            <w:tcW w:w="2179"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股份合作企业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w:t>
            </w:r>
          </w:p>
        </w:tc>
        <w:tc>
          <w:tcPr>
            <w:tcW w:w="2179"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联营企业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w:t>
            </w:r>
          </w:p>
        </w:tc>
        <w:tc>
          <w:tcPr>
            <w:tcW w:w="2179"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有限责任公司</w:t>
            </w:r>
          </w:p>
        </w:tc>
        <w:tc>
          <w:tcPr>
            <w:tcW w:w="2568"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17</w:t>
            </w:r>
          </w:p>
        </w:tc>
        <w:tc>
          <w:tcPr>
            <w:tcW w:w="2179"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648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股份有限公司</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2</w:t>
            </w:r>
          </w:p>
        </w:tc>
        <w:tc>
          <w:tcPr>
            <w:tcW w:w="2179"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私营企业</w:t>
            </w:r>
          </w:p>
        </w:tc>
        <w:tc>
          <w:tcPr>
            <w:tcW w:w="2568" w:type="dxa"/>
            <w:tcBorders>
              <w:top w:val="nil"/>
              <w:left w:val="nil"/>
              <w:bottom w:val="nil"/>
              <w:right w:val="single" w:color="auto" w:sz="4" w:space="0"/>
            </w:tcBorders>
            <w:vAlign w:val="center"/>
          </w:tcPr>
          <w:p>
            <w:pPr>
              <w:spacing w:line="240" w:lineRule="exact"/>
              <w:jc w:val="right"/>
              <w:rPr>
                <w:rFonts w:hint="default" w:eastAsia="黑体"/>
                <w:lang w:val="en-US" w:eastAsia="zh-CN"/>
              </w:rPr>
            </w:pPr>
            <w:r>
              <w:rPr>
                <w:rFonts w:hint="eastAsia"/>
                <w:lang w:val="en-US" w:eastAsia="zh-CN"/>
              </w:rPr>
              <w:t>728</w:t>
            </w:r>
          </w:p>
        </w:tc>
        <w:tc>
          <w:tcPr>
            <w:tcW w:w="2179" w:type="dxa"/>
            <w:tcBorders>
              <w:top w:val="nil"/>
              <w:left w:val="nil"/>
              <w:bottom w:val="nil"/>
              <w:right w:val="nil"/>
            </w:tcBorders>
            <w:vAlign w:val="center"/>
          </w:tcPr>
          <w:p>
            <w:pPr>
              <w:spacing w:line="240" w:lineRule="exact"/>
              <w:jc w:val="right"/>
              <w:rPr>
                <w:rFonts w:hint="default" w:eastAsia="黑体"/>
                <w:lang w:val="en-US" w:eastAsia="zh-CN"/>
              </w:rPr>
            </w:pPr>
            <w:r>
              <w:rPr>
                <w:rFonts w:hint="eastAsia"/>
                <w:lang w:val="en-US" w:eastAsia="zh-CN"/>
              </w:rPr>
              <w:t>2153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kern w:val="0"/>
                <w:sz w:val="18"/>
                <w:szCs w:val="18"/>
              </w:rPr>
            </w:pPr>
            <w:r>
              <w:rPr>
                <w:rFonts w:hint="eastAsia" w:ascii="宋体" w:hAnsi="宋体" w:eastAsia="宋体"/>
                <w:kern w:val="0"/>
              </w:rPr>
              <w:t xml:space="preserve"> 其他企业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lang w:val="en-US" w:eastAsia="zh-CN"/>
              </w:rPr>
            </w:pPr>
            <w:r>
              <w:rPr>
                <w:rFonts w:hint="eastAsia"/>
                <w:lang w:val="en-US" w:eastAsia="zh-CN"/>
              </w:rPr>
              <w:t>2</w:t>
            </w:r>
          </w:p>
        </w:tc>
        <w:tc>
          <w:tcPr>
            <w:tcW w:w="2179" w:type="dxa"/>
            <w:tcBorders>
              <w:top w:val="nil"/>
              <w:left w:val="nil"/>
              <w:bottom w:val="nil"/>
              <w:right w:val="nil"/>
            </w:tcBorders>
            <w:vAlign w:val="center"/>
          </w:tcPr>
          <w:p>
            <w:pPr>
              <w:spacing w:line="240" w:lineRule="exact"/>
              <w:jc w:val="right"/>
              <w:rPr>
                <w:rFonts w:hint="eastAsia" w:eastAsia="黑体"/>
                <w:lang w:val="en-US" w:eastAsia="zh-CN"/>
              </w:rPr>
            </w:pPr>
            <w:r>
              <w:rPr>
                <w:rFonts w:hint="eastAsia"/>
                <w:lang w:val="en-US" w:eastAsia="zh-CN"/>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nil"/>
              <w:right w:val="single" w:color="auto" w:sz="4" w:space="0"/>
            </w:tcBorders>
            <w:vAlign w:val="center"/>
          </w:tcPr>
          <w:p>
            <w:pPr>
              <w:widowControl/>
              <w:spacing w:line="240" w:lineRule="exact"/>
              <w:ind w:left="57" w:right="57"/>
              <w:rPr>
                <w:rFonts w:ascii="宋体" w:hAnsi="宋体" w:eastAsia="宋体"/>
                <w:b/>
                <w:bCs/>
                <w:kern w:val="0"/>
                <w:sz w:val="18"/>
                <w:szCs w:val="18"/>
              </w:rPr>
            </w:pPr>
            <w:r>
              <w:rPr>
                <w:rFonts w:hint="eastAsia" w:ascii="宋体" w:hAnsi="宋体" w:eastAsia="宋体"/>
                <w:b/>
                <w:bCs/>
                <w:kern w:val="0"/>
              </w:rPr>
              <w:t>港、澳、台商投资企业</w:t>
            </w:r>
          </w:p>
        </w:tc>
        <w:tc>
          <w:tcPr>
            <w:tcW w:w="2568" w:type="dxa"/>
            <w:tcBorders>
              <w:top w:val="nil"/>
              <w:left w:val="nil"/>
              <w:bottom w:val="nil"/>
              <w:right w:val="single" w:color="auto" w:sz="4" w:space="0"/>
            </w:tcBorders>
            <w:vAlign w:val="center"/>
          </w:tcPr>
          <w:p>
            <w:pPr>
              <w:spacing w:line="240" w:lineRule="exact"/>
              <w:jc w:val="right"/>
              <w:rPr>
                <w:rFonts w:hint="eastAsia" w:eastAsia="黑体"/>
                <w:b/>
                <w:bCs/>
                <w:lang w:val="en-US" w:eastAsia="zh-CN"/>
              </w:rPr>
            </w:pPr>
            <w:r>
              <w:rPr>
                <w:rFonts w:hint="eastAsia"/>
                <w:b/>
                <w:bCs/>
                <w:lang w:val="en-US" w:eastAsia="zh-CN"/>
              </w:rPr>
              <w:t>-</w:t>
            </w:r>
          </w:p>
        </w:tc>
        <w:tc>
          <w:tcPr>
            <w:tcW w:w="2179" w:type="dxa"/>
            <w:tcBorders>
              <w:top w:val="nil"/>
              <w:left w:val="nil"/>
              <w:bottom w:val="nil"/>
              <w:right w:val="nil"/>
            </w:tcBorders>
            <w:vAlign w:val="center"/>
          </w:tcPr>
          <w:p>
            <w:pPr>
              <w:spacing w:line="240" w:lineRule="exact"/>
              <w:jc w:val="right"/>
              <w:rPr>
                <w:rFonts w:hint="eastAsia" w:eastAsia="黑体"/>
                <w:b/>
                <w:bCs/>
                <w:lang w:val="en-US" w:eastAsia="zh-CN"/>
              </w:rPr>
            </w:pPr>
            <w:r>
              <w:rPr>
                <w:rFonts w:hint="eastAsia"/>
                <w:b/>
                <w:bCs/>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60" w:type="dxa"/>
            <w:tcBorders>
              <w:top w:val="nil"/>
              <w:left w:val="nil"/>
              <w:bottom w:val="single" w:color="auto" w:sz="12" w:space="0"/>
              <w:right w:val="single" w:color="auto" w:sz="4" w:space="0"/>
            </w:tcBorders>
            <w:vAlign w:val="center"/>
          </w:tcPr>
          <w:p>
            <w:pPr>
              <w:widowControl/>
              <w:spacing w:line="240" w:lineRule="exact"/>
              <w:ind w:left="57" w:right="57"/>
              <w:rPr>
                <w:rFonts w:ascii="宋体" w:hAnsi="宋体" w:eastAsia="宋体"/>
                <w:b/>
                <w:bCs/>
                <w:kern w:val="0"/>
                <w:sz w:val="18"/>
                <w:szCs w:val="18"/>
              </w:rPr>
            </w:pPr>
            <w:r>
              <w:rPr>
                <w:rFonts w:hint="eastAsia" w:ascii="宋体" w:hAnsi="宋体" w:eastAsia="宋体"/>
                <w:b/>
                <w:bCs/>
                <w:kern w:val="0"/>
              </w:rPr>
              <w:t>外商投资企业</w:t>
            </w:r>
          </w:p>
        </w:tc>
        <w:tc>
          <w:tcPr>
            <w:tcW w:w="2568" w:type="dxa"/>
            <w:tcBorders>
              <w:top w:val="nil"/>
              <w:left w:val="nil"/>
              <w:bottom w:val="single" w:color="auto" w:sz="12" w:space="0"/>
              <w:right w:val="single" w:color="auto" w:sz="4" w:space="0"/>
            </w:tcBorders>
            <w:vAlign w:val="center"/>
          </w:tcPr>
          <w:p>
            <w:pPr>
              <w:spacing w:line="240" w:lineRule="exact"/>
              <w:jc w:val="right"/>
              <w:rPr>
                <w:rFonts w:hint="eastAsia" w:eastAsia="黑体"/>
                <w:b/>
                <w:bCs/>
                <w:lang w:val="en-US" w:eastAsia="zh-CN"/>
              </w:rPr>
            </w:pPr>
            <w:r>
              <w:rPr>
                <w:rFonts w:hint="eastAsia"/>
                <w:b/>
                <w:bCs/>
                <w:lang w:val="en-US" w:eastAsia="zh-CN"/>
              </w:rPr>
              <w:t>1</w:t>
            </w:r>
          </w:p>
        </w:tc>
        <w:tc>
          <w:tcPr>
            <w:tcW w:w="2179" w:type="dxa"/>
            <w:tcBorders>
              <w:top w:val="nil"/>
              <w:left w:val="nil"/>
              <w:bottom w:val="single" w:color="auto" w:sz="12" w:space="0"/>
              <w:right w:val="nil"/>
            </w:tcBorders>
            <w:vAlign w:val="center"/>
          </w:tcPr>
          <w:p>
            <w:pPr>
              <w:spacing w:line="240" w:lineRule="exact"/>
              <w:jc w:val="right"/>
              <w:rPr>
                <w:rFonts w:hint="eastAsia" w:eastAsia="黑体"/>
                <w:b/>
                <w:bCs/>
                <w:lang w:val="en-US" w:eastAsia="zh-CN"/>
              </w:rPr>
            </w:pPr>
            <w:r>
              <w:rPr>
                <w:rFonts w:hint="eastAsia"/>
                <w:b/>
                <w:bCs/>
                <w:lang w:val="en-US" w:eastAsia="zh-CN"/>
              </w:rPr>
              <w:t>-</w:t>
            </w:r>
          </w:p>
        </w:tc>
      </w:tr>
    </w:tbl>
    <w:p>
      <w:pPr>
        <w:widowControl/>
        <w:spacing w:line="60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（二）主要经济指标。</w:t>
      </w:r>
    </w:p>
    <w:p>
      <w:pPr>
        <w:widowControl/>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2018年末，批发和零售业企业法人单位资产总计</w:t>
      </w:r>
      <w:r>
        <w:rPr>
          <w:rFonts w:hint="eastAsia" w:ascii="仿宋_GB2312" w:hAnsi="宋体" w:eastAsia="仿宋_GB2312" w:cs="宋体"/>
          <w:kern w:val="0"/>
          <w:sz w:val="32"/>
          <w:szCs w:val="32"/>
          <w:lang w:val="en-US" w:eastAsia="zh-CN"/>
        </w:rPr>
        <w:t>209456.45万</w:t>
      </w:r>
      <w:r>
        <w:rPr>
          <w:rFonts w:hint="eastAsia" w:ascii="仿宋_GB2312" w:hAnsi="宋体" w:eastAsia="仿宋_GB2312" w:cs="宋体"/>
          <w:kern w:val="0"/>
          <w:sz w:val="32"/>
          <w:szCs w:val="32"/>
        </w:rPr>
        <w:t>元，比2013年末</w:t>
      </w:r>
      <w:r>
        <w:rPr>
          <w:rFonts w:hint="eastAsia" w:ascii="仿宋_GB2312" w:hAnsi="宋体" w:eastAsia="仿宋_GB2312" w:cs="宋体"/>
          <w:kern w:val="0"/>
          <w:sz w:val="32"/>
          <w:szCs w:val="32"/>
          <w:lang w:val="en-US" w:eastAsia="zh-CN"/>
        </w:rPr>
        <w:t>增长19.25</w:t>
      </w:r>
      <w:r>
        <w:rPr>
          <w:rFonts w:hint="eastAsia" w:ascii="仿宋_GB2312" w:hAnsi="宋体" w:eastAsia="仿宋_GB2312" w:cs="宋体"/>
          <w:kern w:val="0"/>
          <w:sz w:val="32"/>
          <w:szCs w:val="32"/>
        </w:rPr>
        <w:t>%。其中，批发业企业法人单位资产总计</w:t>
      </w:r>
      <w:r>
        <w:rPr>
          <w:rFonts w:hint="eastAsia" w:ascii="仿宋_GB2312" w:hAnsi="宋体" w:eastAsia="仿宋_GB2312" w:cs="宋体"/>
          <w:kern w:val="0"/>
          <w:sz w:val="32"/>
          <w:szCs w:val="32"/>
          <w:lang w:val="en-US" w:eastAsia="zh-CN"/>
        </w:rPr>
        <w:t>156561.83万</w:t>
      </w:r>
      <w:r>
        <w:rPr>
          <w:rFonts w:hint="eastAsia" w:ascii="仿宋_GB2312" w:hAnsi="宋体" w:eastAsia="仿宋_GB2312" w:cs="宋体"/>
          <w:kern w:val="0"/>
          <w:sz w:val="32"/>
          <w:szCs w:val="32"/>
        </w:rPr>
        <w:t>元，比2013年末增长</w:t>
      </w:r>
      <w:r>
        <w:rPr>
          <w:rFonts w:hint="eastAsia" w:ascii="仿宋_GB2312" w:hAnsi="宋体" w:eastAsia="仿宋_GB2312" w:cs="宋体"/>
          <w:kern w:val="0"/>
          <w:sz w:val="32"/>
          <w:szCs w:val="32"/>
          <w:lang w:val="en-US" w:eastAsia="zh-CN"/>
        </w:rPr>
        <w:t>141.45</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零售业企业法人单位资产总计</w:t>
      </w:r>
      <w:r>
        <w:rPr>
          <w:rFonts w:hint="eastAsia" w:ascii="仿宋_GB2312" w:hAnsi="宋体" w:eastAsia="仿宋_GB2312" w:cs="宋体"/>
          <w:kern w:val="0"/>
          <w:sz w:val="32"/>
          <w:szCs w:val="32"/>
          <w:lang w:val="en-US" w:eastAsia="zh-CN"/>
        </w:rPr>
        <w:t>52894.62万</w:t>
      </w:r>
      <w:r>
        <w:rPr>
          <w:rFonts w:hint="eastAsia" w:ascii="仿宋_GB2312" w:hAnsi="宋体" w:eastAsia="仿宋_GB2312" w:cs="宋体"/>
          <w:kern w:val="0"/>
          <w:sz w:val="32"/>
          <w:szCs w:val="32"/>
        </w:rPr>
        <w:t>元，比2013年末</w:t>
      </w:r>
      <w:r>
        <w:rPr>
          <w:rFonts w:hint="eastAsia" w:ascii="仿宋_GB2312" w:hAnsi="宋体" w:eastAsia="仿宋_GB2312" w:cs="宋体"/>
          <w:kern w:val="0"/>
          <w:sz w:val="32"/>
          <w:szCs w:val="32"/>
          <w:lang w:val="en-US" w:eastAsia="zh-CN"/>
        </w:rPr>
        <w:t>下降52.26</w:t>
      </w:r>
      <w:r>
        <w:rPr>
          <w:rFonts w:hint="eastAsia" w:ascii="仿宋_GB2312" w:hAnsi="宋体" w:eastAsia="仿宋_GB2312" w:cs="宋体"/>
          <w:kern w:val="0"/>
          <w:sz w:val="32"/>
          <w:szCs w:val="32"/>
        </w:rPr>
        <w:t>%。负债合计</w:t>
      </w:r>
      <w:r>
        <w:rPr>
          <w:rFonts w:hint="eastAsia" w:ascii="仿宋_GB2312" w:hAnsi="宋体" w:eastAsia="仿宋_GB2312" w:cs="宋体"/>
          <w:kern w:val="0"/>
          <w:sz w:val="32"/>
          <w:szCs w:val="32"/>
          <w:lang w:val="en-US" w:eastAsia="zh-CN"/>
        </w:rPr>
        <w:t>114079.74万</w:t>
      </w:r>
      <w:r>
        <w:rPr>
          <w:rFonts w:hint="eastAsia" w:ascii="仿宋_GB2312" w:hAnsi="宋体" w:eastAsia="仿宋_GB2312" w:cs="宋体"/>
          <w:kern w:val="0"/>
          <w:sz w:val="32"/>
          <w:szCs w:val="32"/>
        </w:rPr>
        <w:t>元。全年实现营业收入</w:t>
      </w:r>
      <w:r>
        <w:rPr>
          <w:rFonts w:hint="eastAsia" w:ascii="仿宋_GB2312" w:hAnsi="宋体" w:eastAsia="仿宋_GB2312" w:cs="宋体"/>
          <w:kern w:val="0"/>
          <w:sz w:val="32"/>
          <w:szCs w:val="32"/>
          <w:lang w:val="en-US" w:eastAsia="zh-CN"/>
        </w:rPr>
        <w:t>222674.30万</w:t>
      </w:r>
      <w:r>
        <w:rPr>
          <w:rFonts w:hint="eastAsia" w:ascii="仿宋_GB2312" w:hAnsi="宋体" w:eastAsia="仿宋_GB2312" w:cs="宋体"/>
          <w:kern w:val="0"/>
          <w:sz w:val="32"/>
          <w:szCs w:val="32"/>
        </w:rPr>
        <w:t>元（详见表4-3）。</w:t>
      </w:r>
    </w:p>
    <w:tbl>
      <w:tblPr>
        <w:tblStyle w:val="3"/>
        <w:tblW w:w="878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35"/>
        <w:gridCol w:w="1417"/>
        <w:gridCol w:w="1417"/>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8787" w:type="dxa"/>
            <w:gridSpan w:val="4"/>
            <w:tcBorders>
              <w:top w:val="nil"/>
              <w:left w:val="nil"/>
              <w:bottom w:val="single" w:color="auto" w:sz="12" w:space="0"/>
              <w:right w:val="nil"/>
            </w:tcBorders>
            <w:shd w:val="clear" w:color="auto" w:fill="FFFFFF"/>
            <w:vAlign w:val="center"/>
          </w:tcPr>
          <w:p>
            <w:pPr>
              <w:widowControl/>
              <w:spacing w:line="320" w:lineRule="atLeast"/>
              <w:ind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4-3</w:t>
            </w:r>
            <w:r>
              <w:rPr>
                <w:rFonts w:hint="eastAsia" w:ascii="宋体" w:hAnsi="宋体" w:eastAsia="宋体"/>
                <w:b/>
                <w:bCs/>
                <w:kern w:val="0"/>
                <w:sz w:val="24"/>
                <w:szCs w:val="24"/>
              </w:rPr>
              <w:t xml:space="preserve"> 按行业中类分组的批发和零售业企业法人单位主要经济指标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535" w:type="dxa"/>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1417"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c>
          <w:tcPr>
            <w:tcW w:w="1417"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c>
          <w:tcPr>
            <w:tcW w:w="1418"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color w:val="000000"/>
                <w:kern w:val="0"/>
                <w:sz w:val="18"/>
                <w:szCs w:val="18"/>
              </w:rPr>
            </w:pPr>
            <w:r>
              <w:rPr>
                <w:rFonts w:hint="eastAsia" w:ascii="宋体" w:hAnsi="宋体" w:eastAsia="宋体"/>
                <w:b/>
                <w:bCs/>
                <w:color w:val="000000"/>
                <w:kern w:val="0"/>
              </w:rPr>
              <w:t>合 计</w:t>
            </w:r>
          </w:p>
        </w:tc>
        <w:tc>
          <w:tcPr>
            <w:tcW w:w="1417" w:type="dxa"/>
            <w:tcBorders>
              <w:top w:val="single" w:color="auto" w:sz="4" w:space="0"/>
              <w:left w:val="nil"/>
              <w:bottom w:val="nil"/>
              <w:right w:val="single" w:color="auto" w:sz="4" w:space="0"/>
            </w:tcBorders>
            <w:vAlign w:val="center"/>
          </w:tcPr>
          <w:p>
            <w:pPr>
              <w:jc w:val="right"/>
              <w:rPr>
                <w:rFonts w:hint="default" w:eastAsia="黑体"/>
                <w:b/>
                <w:bCs/>
                <w:color w:val="000000"/>
                <w:lang w:val="en-US" w:eastAsia="zh-CN"/>
              </w:rPr>
            </w:pPr>
            <w:r>
              <w:rPr>
                <w:rFonts w:hint="eastAsia"/>
                <w:b/>
                <w:bCs/>
                <w:color w:val="000000"/>
                <w:lang w:val="en-US" w:eastAsia="zh-CN"/>
              </w:rPr>
              <w:t>209456.45</w:t>
            </w:r>
          </w:p>
        </w:tc>
        <w:tc>
          <w:tcPr>
            <w:tcW w:w="1417" w:type="dxa"/>
            <w:tcBorders>
              <w:top w:val="single" w:color="auto" w:sz="4" w:space="0"/>
              <w:left w:val="nil"/>
              <w:bottom w:val="nil"/>
              <w:right w:val="single" w:color="auto" w:sz="4" w:space="0"/>
            </w:tcBorders>
            <w:vAlign w:val="center"/>
          </w:tcPr>
          <w:p>
            <w:pPr>
              <w:jc w:val="right"/>
              <w:rPr>
                <w:rFonts w:hint="default" w:eastAsia="黑体"/>
                <w:b/>
                <w:bCs/>
                <w:color w:val="000000"/>
                <w:lang w:val="en-US" w:eastAsia="zh-CN"/>
              </w:rPr>
            </w:pPr>
            <w:r>
              <w:rPr>
                <w:rFonts w:hint="eastAsia"/>
                <w:b/>
                <w:bCs/>
                <w:color w:val="000000"/>
                <w:lang w:val="en-US" w:eastAsia="zh-CN"/>
              </w:rPr>
              <w:t>114079.74</w:t>
            </w:r>
          </w:p>
        </w:tc>
        <w:tc>
          <w:tcPr>
            <w:tcW w:w="1418" w:type="dxa"/>
            <w:tcBorders>
              <w:top w:val="single" w:color="auto" w:sz="4" w:space="0"/>
              <w:left w:val="nil"/>
              <w:bottom w:val="nil"/>
              <w:right w:val="nil"/>
            </w:tcBorders>
            <w:vAlign w:val="center"/>
          </w:tcPr>
          <w:p>
            <w:pPr>
              <w:jc w:val="right"/>
              <w:rPr>
                <w:rFonts w:hint="default" w:eastAsia="黑体"/>
                <w:b/>
                <w:bCs/>
                <w:color w:val="000000"/>
                <w:lang w:val="en-US" w:eastAsia="zh-CN"/>
              </w:rPr>
            </w:pPr>
            <w:r>
              <w:rPr>
                <w:rFonts w:hint="eastAsia"/>
                <w:b/>
                <w:bCs/>
                <w:color w:val="000000"/>
                <w:lang w:val="en-US" w:eastAsia="zh-CN"/>
              </w:rPr>
              <w:t>222674.30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b/>
                <w:bCs/>
                <w:color w:val="000000"/>
              </w:rPr>
            </w:pPr>
            <w:r>
              <w:rPr>
                <w:rFonts w:hint="eastAsia" w:ascii="宋体" w:hAnsi="宋体" w:eastAsia="宋体"/>
                <w:b/>
                <w:bCs/>
                <w:color w:val="000000"/>
              </w:rPr>
              <w:t>批发业</w:t>
            </w:r>
          </w:p>
        </w:tc>
        <w:tc>
          <w:tcPr>
            <w:tcW w:w="1417" w:type="dxa"/>
            <w:tcBorders>
              <w:top w:val="nil"/>
              <w:left w:val="nil"/>
              <w:bottom w:val="nil"/>
              <w:right w:val="single" w:color="auto" w:sz="4" w:space="0"/>
            </w:tcBorders>
            <w:vAlign w:val="bottom"/>
          </w:tcPr>
          <w:p>
            <w:pPr>
              <w:jc w:val="right"/>
              <w:rPr>
                <w:rFonts w:hint="default"/>
                <w:b/>
                <w:bCs/>
                <w:color w:val="000000"/>
                <w:lang w:val="en-US" w:eastAsia="zh-CN"/>
              </w:rPr>
            </w:pPr>
            <w:r>
              <w:rPr>
                <w:rFonts w:hint="eastAsia"/>
                <w:b/>
                <w:bCs/>
                <w:color w:val="000000"/>
                <w:lang w:val="en-US" w:eastAsia="zh-CN"/>
              </w:rPr>
              <w:t xml:space="preserve">    156561.83</w:t>
            </w:r>
          </w:p>
        </w:tc>
        <w:tc>
          <w:tcPr>
            <w:tcW w:w="1417" w:type="dxa"/>
            <w:tcBorders>
              <w:top w:val="nil"/>
              <w:left w:val="nil"/>
              <w:bottom w:val="nil"/>
              <w:right w:val="single" w:color="auto" w:sz="4" w:space="0"/>
            </w:tcBorders>
            <w:vAlign w:val="bottom"/>
          </w:tcPr>
          <w:p>
            <w:pPr>
              <w:jc w:val="right"/>
              <w:rPr>
                <w:rFonts w:hint="default"/>
                <w:b/>
                <w:bCs/>
                <w:color w:val="000000"/>
                <w:lang w:val="en-US" w:eastAsia="zh-CN"/>
              </w:rPr>
            </w:pPr>
            <w:r>
              <w:rPr>
                <w:rFonts w:hint="eastAsia"/>
                <w:b/>
                <w:bCs/>
                <w:color w:val="000000"/>
                <w:lang w:val="en-US" w:eastAsia="zh-CN"/>
              </w:rPr>
              <w:t>94074.57</w:t>
            </w:r>
          </w:p>
        </w:tc>
        <w:tc>
          <w:tcPr>
            <w:tcW w:w="1418" w:type="dxa"/>
            <w:tcBorders>
              <w:top w:val="nil"/>
              <w:left w:val="nil"/>
              <w:bottom w:val="nil"/>
              <w:right w:val="nil"/>
            </w:tcBorders>
            <w:vAlign w:val="bottom"/>
          </w:tcPr>
          <w:p>
            <w:pPr>
              <w:jc w:val="right"/>
              <w:rPr>
                <w:rFonts w:hint="default"/>
                <w:b/>
                <w:bCs/>
                <w:color w:val="000000"/>
                <w:lang w:val="en-US" w:eastAsia="zh-CN"/>
              </w:rPr>
            </w:pPr>
            <w:r>
              <w:rPr>
                <w:rFonts w:hint="eastAsia"/>
                <w:b/>
                <w:bCs/>
                <w:color w:val="000000"/>
                <w:lang w:val="en-US" w:eastAsia="zh-CN"/>
              </w:rPr>
              <w:t>180358.57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kern w:val="0"/>
              </w:rPr>
              <w:t xml:space="preserve"> 农、林、牧、渔产品批发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1281.16</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566.97</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1517.81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食品、饮料及烟草制品批发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1522.49</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1205.43</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2079.76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纺织、服装及家庭用品批发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1200.44</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619.43</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12474.39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文化、体育用品及器材批发</w:t>
            </w:r>
          </w:p>
        </w:tc>
        <w:tc>
          <w:tcPr>
            <w:tcW w:w="1417" w:type="dxa"/>
            <w:tcBorders>
              <w:top w:val="nil"/>
              <w:left w:val="nil"/>
              <w:bottom w:val="nil"/>
              <w:right w:val="single" w:color="auto" w:sz="4" w:space="0"/>
            </w:tcBorders>
            <w:vAlign w:val="center"/>
          </w:tcPr>
          <w:p>
            <w:pPr>
              <w:jc w:val="right"/>
              <w:rPr>
                <w:rFonts w:hint="eastAsia" w:eastAsia="黑体"/>
                <w:color w:val="000000"/>
                <w:lang w:val="en-US" w:eastAsia="zh-CN"/>
              </w:rPr>
            </w:pPr>
            <w:r>
              <w:rPr>
                <w:rFonts w:hint="eastAsia"/>
                <w:color w:val="000000"/>
                <w:lang w:val="en-US" w:eastAsia="zh-CN"/>
              </w:rPr>
              <w:t>-</w:t>
            </w:r>
          </w:p>
        </w:tc>
        <w:tc>
          <w:tcPr>
            <w:tcW w:w="1417" w:type="dxa"/>
            <w:tcBorders>
              <w:top w:val="nil"/>
              <w:left w:val="nil"/>
              <w:bottom w:val="nil"/>
              <w:right w:val="single" w:color="auto" w:sz="4" w:space="0"/>
            </w:tcBorders>
            <w:vAlign w:val="center"/>
          </w:tcPr>
          <w:p>
            <w:pPr>
              <w:jc w:val="right"/>
              <w:rPr>
                <w:rFonts w:hint="eastAsia" w:eastAsia="黑体"/>
                <w:color w:val="000000"/>
                <w:lang w:val="en-US" w:eastAsia="zh-CN"/>
              </w:rPr>
            </w:pPr>
            <w:r>
              <w:rPr>
                <w:rFonts w:hint="eastAsia"/>
                <w:color w:val="000000"/>
                <w:lang w:val="en-US" w:eastAsia="zh-CN"/>
              </w:rPr>
              <w:t>-</w:t>
            </w:r>
          </w:p>
        </w:tc>
        <w:tc>
          <w:tcPr>
            <w:tcW w:w="1418" w:type="dxa"/>
            <w:tcBorders>
              <w:top w:val="nil"/>
              <w:left w:val="nil"/>
              <w:bottom w:val="nil"/>
              <w:right w:val="nil"/>
            </w:tcBorders>
            <w:vAlign w:val="center"/>
          </w:tcPr>
          <w:p>
            <w:pPr>
              <w:jc w:val="right"/>
              <w:rPr>
                <w:rFonts w:hint="eastAsia" w:eastAsia="黑体"/>
                <w:color w:val="000000"/>
                <w:lang w:val="en-US" w:eastAsia="zh-CN"/>
              </w:rPr>
            </w:pPr>
            <w:r>
              <w:rPr>
                <w:rFonts w:hint="eastAsia"/>
                <w:color w:val="000000"/>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医药及医疗器材批发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374.72</w:t>
            </w:r>
          </w:p>
        </w:tc>
        <w:tc>
          <w:tcPr>
            <w:tcW w:w="1417" w:type="dxa"/>
            <w:tcBorders>
              <w:top w:val="nil"/>
              <w:left w:val="nil"/>
              <w:bottom w:val="nil"/>
              <w:right w:val="single" w:color="auto" w:sz="4" w:space="0"/>
            </w:tcBorders>
            <w:vAlign w:val="center"/>
          </w:tcPr>
          <w:p>
            <w:pPr>
              <w:jc w:val="right"/>
              <w:rPr>
                <w:rFonts w:hint="eastAsia" w:eastAsia="黑体"/>
                <w:color w:val="000000"/>
                <w:lang w:val="en-US" w:eastAsia="zh-CN"/>
              </w:rPr>
            </w:pPr>
            <w:r>
              <w:rPr>
                <w:rFonts w:hint="eastAsia"/>
                <w:color w:val="000000"/>
                <w:lang w:val="en-US" w:eastAsia="zh-CN"/>
              </w:rPr>
              <w:t>-</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87.28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矿产品、建材及化工产品批发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114309.16</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65132.67</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111642.20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机械设备、五金产品及电子产品批发</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10838.89</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8331.57</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4951.67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贸易经纪与代理</w:t>
            </w:r>
          </w:p>
        </w:tc>
        <w:tc>
          <w:tcPr>
            <w:tcW w:w="1417" w:type="dxa"/>
            <w:tcBorders>
              <w:top w:val="nil"/>
              <w:left w:val="nil"/>
              <w:bottom w:val="nil"/>
              <w:right w:val="single" w:color="auto" w:sz="4" w:space="0"/>
            </w:tcBorders>
            <w:vAlign w:val="center"/>
          </w:tcPr>
          <w:p>
            <w:pPr>
              <w:jc w:val="right"/>
              <w:rPr>
                <w:rFonts w:hint="eastAsia" w:eastAsia="黑体"/>
                <w:color w:val="000000"/>
                <w:lang w:val="en-US" w:eastAsia="zh-CN"/>
              </w:rPr>
            </w:pPr>
            <w:r>
              <w:rPr>
                <w:rFonts w:hint="eastAsia"/>
                <w:color w:val="000000"/>
                <w:lang w:val="en-US" w:eastAsia="zh-CN"/>
              </w:rPr>
              <w:t>-</w:t>
            </w:r>
          </w:p>
        </w:tc>
        <w:tc>
          <w:tcPr>
            <w:tcW w:w="1417" w:type="dxa"/>
            <w:tcBorders>
              <w:top w:val="nil"/>
              <w:left w:val="nil"/>
              <w:bottom w:val="nil"/>
              <w:right w:val="single" w:color="auto" w:sz="4" w:space="0"/>
            </w:tcBorders>
            <w:vAlign w:val="center"/>
          </w:tcPr>
          <w:p>
            <w:pPr>
              <w:jc w:val="right"/>
              <w:rPr>
                <w:rFonts w:hint="eastAsia" w:eastAsia="黑体"/>
                <w:color w:val="000000"/>
                <w:lang w:val="en-US" w:eastAsia="zh-CN"/>
              </w:rPr>
            </w:pPr>
            <w:r>
              <w:rPr>
                <w:rFonts w:hint="eastAsia"/>
                <w:color w:val="000000"/>
                <w:lang w:val="en-US" w:eastAsia="zh-CN"/>
              </w:rPr>
              <w:t>-</w:t>
            </w:r>
          </w:p>
        </w:tc>
        <w:tc>
          <w:tcPr>
            <w:tcW w:w="1418" w:type="dxa"/>
            <w:tcBorders>
              <w:top w:val="nil"/>
              <w:left w:val="nil"/>
              <w:bottom w:val="nil"/>
              <w:right w:val="nil"/>
            </w:tcBorders>
            <w:vAlign w:val="center"/>
          </w:tcPr>
          <w:p>
            <w:pPr>
              <w:jc w:val="right"/>
              <w:rPr>
                <w:rFonts w:hint="eastAsia" w:eastAsia="黑体"/>
                <w:color w:val="000000"/>
                <w:lang w:val="en-US" w:eastAsia="zh-CN"/>
              </w:rPr>
            </w:pPr>
            <w:r>
              <w:rPr>
                <w:rFonts w:hint="eastAsia"/>
                <w:color w:val="000000"/>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rPr>
                <w:color w:val="000000"/>
              </w:rPr>
            </w:pPr>
            <w:r>
              <w:rPr>
                <w:rFonts w:hint="eastAsia" w:ascii="宋体" w:hAnsi="宋体" w:eastAsia="宋体"/>
                <w:color w:val="000000"/>
              </w:rPr>
              <w:t xml:space="preserve"> 其他批发业</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27034.97</w:t>
            </w:r>
          </w:p>
        </w:tc>
        <w:tc>
          <w:tcPr>
            <w:tcW w:w="1417" w:type="dxa"/>
            <w:tcBorders>
              <w:top w:val="nil"/>
              <w:left w:val="nil"/>
              <w:bottom w:val="nil"/>
              <w:right w:val="single" w:color="auto" w:sz="4" w:space="0"/>
            </w:tcBorders>
            <w:vAlign w:val="center"/>
          </w:tcPr>
          <w:p>
            <w:pPr>
              <w:jc w:val="right"/>
              <w:rPr>
                <w:rFonts w:hint="default" w:eastAsia="黑体"/>
                <w:color w:val="000000"/>
                <w:lang w:val="en-US" w:eastAsia="zh-CN"/>
              </w:rPr>
            </w:pPr>
            <w:r>
              <w:rPr>
                <w:rFonts w:hint="eastAsia"/>
                <w:color w:val="000000"/>
                <w:lang w:val="en-US" w:eastAsia="zh-CN"/>
              </w:rPr>
              <w:t>18218.50</w:t>
            </w:r>
          </w:p>
        </w:tc>
        <w:tc>
          <w:tcPr>
            <w:tcW w:w="1418" w:type="dxa"/>
            <w:tcBorders>
              <w:top w:val="nil"/>
              <w:left w:val="nil"/>
              <w:bottom w:val="nil"/>
              <w:right w:val="nil"/>
            </w:tcBorders>
            <w:vAlign w:val="center"/>
          </w:tcPr>
          <w:p>
            <w:pPr>
              <w:jc w:val="right"/>
              <w:rPr>
                <w:rFonts w:hint="default" w:eastAsia="黑体"/>
                <w:color w:val="000000"/>
                <w:lang w:val="en-US" w:eastAsia="zh-CN"/>
              </w:rPr>
            </w:pPr>
            <w:r>
              <w:rPr>
                <w:rFonts w:hint="eastAsia"/>
                <w:color w:val="000000"/>
                <w:lang w:val="en-US" w:eastAsia="zh-CN"/>
              </w:rPr>
              <w:t>47605.46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pPr>
              <w:jc w:val="left"/>
              <w:rPr>
                <w:rFonts w:hint="eastAsia"/>
                <w:b/>
                <w:bCs/>
                <w:color w:val="000000"/>
                <w:lang w:val="en-US" w:eastAsia="zh-CN"/>
              </w:rPr>
            </w:pPr>
            <w:r>
              <w:rPr>
                <w:rFonts w:hint="eastAsia"/>
                <w:b/>
                <w:bCs/>
                <w:color w:val="000000"/>
                <w:lang w:val="en-US" w:eastAsia="zh-CN"/>
              </w:rPr>
              <w:t>零售业</w:t>
            </w:r>
          </w:p>
        </w:tc>
        <w:tc>
          <w:tcPr>
            <w:tcW w:w="1417" w:type="dxa"/>
            <w:tcBorders>
              <w:top w:val="nil"/>
              <w:left w:val="nil"/>
              <w:bottom w:val="nil"/>
              <w:right w:val="single" w:color="auto" w:sz="4" w:space="0"/>
            </w:tcBorders>
            <w:vAlign w:val="bottom"/>
          </w:tcPr>
          <w:p>
            <w:pPr>
              <w:jc w:val="right"/>
              <w:rPr>
                <w:rFonts w:hint="default"/>
                <w:b/>
                <w:bCs/>
                <w:color w:val="000000"/>
                <w:lang w:val="en-US" w:eastAsia="zh-CN"/>
              </w:rPr>
            </w:pPr>
            <w:r>
              <w:rPr>
                <w:rFonts w:hint="eastAsia"/>
                <w:b/>
                <w:bCs/>
                <w:color w:val="000000"/>
                <w:lang w:val="en-US" w:eastAsia="zh-CN"/>
              </w:rPr>
              <w:t>52894.62</w:t>
            </w:r>
          </w:p>
        </w:tc>
        <w:tc>
          <w:tcPr>
            <w:tcW w:w="1417" w:type="dxa"/>
            <w:tcBorders>
              <w:top w:val="nil"/>
              <w:left w:val="nil"/>
              <w:bottom w:val="nil"/>
              <w:right w:val="single" w:color="auto" w:sz="4" w:space="0"/>
            </w:tcBorders>
            <w:vAlign w:val="bottom"/>
          </w:tcPr>
          <w:p>
            <w:pPr>
              <w:jc w:val="right"/>
              <w:rPr>
                <w:rFonts w:hint="default"/>
                <w:b/>
                <w:bCs/>
                <w:color w:val="000000"/>
                <w:lang w:val="en-US" w:eastAsia="zh-CN"/>
              </w:rPr>
            </w:pPr>
            <w:r>
              <w:rPr>
                <w:rFonts w:hint="eastAsia"/>
                <w:b/>
                <w:bCs/>
                <w:color w:val="000000"/>
                <w:lang w:val="en-US" w:eastAsia="zh-CN"/>
              </w:rPr>
              <w:t>20005.17</w:t>
            </w:r>
          </w:p>
        </w:tc>
        <w:tc>
          <w:tcPr>
            <w:tcW w:w="1418" w:type="dxa"/>
            <w:tcBorders>
              <w:top w:val="nil"/>
              <w:left w:val="nil"/>
              <w:bottom w:val="nil"/>
              <w:right w:val="nil"/>
            </w:tcBorders>
            <w:vAlign w:val="bottom"/>
          </w:tcPr>
          <w:p>
            <w:pPr>
              <w:jc w:val="right"/>
              <w:rPr>
                <w:rFonts w:hint="default"/>
                <w:b/>
                <w:bCs/>
                <w:color w:val="000000"/>
                <w:lang w:val="en-US" w:eastAsia="zh-CN"/>
              </w:rPr>
            </w:pPr>
            <w:r>
              <w:rPr>
                <w:rFonts w:hint="eastAsia"/>
                <w:b/>
                <w:bCs/>
                <w:color w:val="000000"/>
                <w:lang w:val="en-US" w:eastAsia="zh-CN"/>
              </w:rPr>
              <w:t>42315.73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综合零售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5785.01</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2446.52</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11009.69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食品、饮料及烟草制品专门零售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14941.35</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5929.30</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5863.48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纺织、服装及日用品专门零售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2525.93</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245.58</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1790.07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文化、体育用品及器材专门零售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1252.99</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230.22</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659.10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医药及医疗器材专门零售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1754.67</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1221.91</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2556.62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kern w:val="0"/>
              </w:rPr>
              <w:t xml:space="preserve"> 汽车、摩托车、零配件和燃料及其他动力销售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11145.20</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5940.58</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6268.09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家用电器及电子产品专门零售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4989.86</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1235.09</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3582.49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nil"/>
              <w:right w:val="single" w:color="auto" w:sz="4" w:space="0"/>
            </w:tcBorders>
            <w:vAlign w:val="top"/>
          </w:tcPr>
          <w:p>
            <w:r>
              <w:rPr>
                <w:rFonts w:hint="eastAsia" w:ascii="宋体" w:hAnsi="宋体" w:eastAsia="宋体"/>
              </w:rPr>
              <w:t xml:space="preserve"> 五金、家具及室内装饰材料专门零售</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7705.11</w:t>
            </w:r>
          </w:p>
        </w:tc>
        <w:tc>
          <w:tcPr>
            <w:tcW w:w="141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1407.9</w:t>
            </w:r>
          </w:p>
        </w:tc>
        <w:tc>
          <w:tcPr>
            <w:tcW w:w="1418"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6774.43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4535" w:type="dxa"/>
            <w:tcBorders>
              <w:top w:val="nil"/>
              <w:left w:val="nil"/>
              <w:bottom w:val="single" w:color="auto" w:sz="12" w:space="0"/>
              <w:right w:val="single" w:color="auto" w:sz="4" w:space="0"/>
            </w:tcBorders>
            <w:vAlign w:val="top"/>
          </w:tcPr>
          <w:p>
            <w:r>
              <w:rPr>
                <w:rFonts w:hint="eastAsia" w:ascii="宋体" w:hAnsi="宋体" w:eastAsia="宋体"/>
              </w:rPr>
              <w:t xml:space="preserve"> 货摊、无店铺及其他零售业</w:t>
            </w:r>
          </w:p>
        </w:tc>
        <w:tc>
          <w:tcPr>
            <w:tcW w:w="1417" w:type="dxa"/>
            <w:tcBorders>
              <w:top w:val="nil"/>
              <w:left w:val="nil"/>
              <w:bottom w:val="single" w:color="auto" w:sz="12" w:space="0"/>
              <w:right w:val="single" w:color="auto" w:sz="4" w:space="0"/>
            </w:tcBorders>
            <w:vAlign w:val="center"/>
          </w:tcPr>
          <w:p>
            <w:pPr>
              <w:jc w:val="right"/>
              <w:rPr>
                <w:rFonts w:hint="default" w:eastAsia="黑体"/>
                <w:lang w:val="en-US" w:eastAsia="zh-CN"/>
              </w:rPr>
            </w:pPr>
            <w:r>
              <w:rPr>
                <w:rFonts w:hint="eastAsia"/>
                <w:lang w:val="en-US" w:eastAsia="zh-CN"/>
              </w:rPr>
              <w:t>2794.51</w:t>
            </w:r>
          </w:p>
        </w:tc>
        <w:tc>
          <w:tcPr>
            <w:tcW w:w="1417" w:type="dxa"/>
            <w:tcBorders>
              <w:top w:val="nil"/>
              <w:left w:val="nil"/>
              <w:bottom w:val="single" w:color="auto" w:sz="12" w:space="0"/>
              <w:right w:val="single" w:color="auto" w:sz="4" w:space="0"/>
            </w:tcBorders>
            <w:vAlign w:val="center"/>
          </w:tcPr>
          <w:p>
            <w:pPr>
              <w:jc w:val="right"/>
              <w:rPr>
                <w:rFonts w:hint="default" w:eastAsia="黑体"/>
                <w:lang w:val="en-US" w:eastAsia="zh-CN"/>
              </w:rPr>
            </w:pPr>
            <w:r>
              <w:rPr>
                <w:rFonts w:hint="eastAsia"/>
                <w:lang w:val="en-US" w:eastAsia="zh-CN"/>
              </w:rPr>
              <w:t>1348.07</w:t>
            </w:r>
          </w:p>
        </w:tc>
        <w:tc>
          <w:tcPr>
            <w:tcW w:w="1418" w:type="dxa"/>
            <w:tcBorders>
              <w:top w:val="nil"/>
              <w:left w:val="nil"/>
              <w:bottom w:val="single" w:color="auto" w:sz="12" w:space="0"/>
              <w:right w:val="nil"/>
            </w:tcBorders>
            <w:vAlign w:val="center"/>
          </w:tcPr>
          <w:p>
            <w:pPr>
              <w:jc w:val="right"/>
              <w:rPr>
                <w:rFonts w:hint="default" w:eastAsia="黑体"/>
                <w:lang w:val="en-US" w:eastAsia="zh-CN"/>
              </w:rPr>
            </w:pPr>
            <w:r>
              <w:rPr>
                <w:rFonts w:hint="eastAsia"/>
                <w:lang w:val="en-US" w:eastAsia="zh-CN"/>
              </w:rPr>
              <w:t>3811.75</w:t>
            </w:r>
          </w:p>
        </w:tc>
      </w:tr>
    </w:tbl>
    <w:p>
      <w:pPr>
        <w:widowControl/>
        <w:spacing w:line="60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二、交通运输、仓储和邮政业</w:t>
      </w:r>
    </w:p>
    <w:p>
      <w:pPr>
        <w:widowControl/>
        <w:spacing w:line="600" w:lineRule="exact"/>
        <w:ind w:firstLine="640" w:firstLineChars="200"/>
        <w:rPr>
          <w:rFonts w:hint="eastAsia" w:ascii="楷体_GB2312" w:hAnsi="楷体"/>
          <w:kern w:val="0"/>
          <w:sz w:val="32"/>
          <w:szCs w:val="32"/>
        </w:rPr>
      </w:pPr>
      <w:r>
        <w:rPr>
          <w:rFonts w:hint="eastAsia" w:ascii="楷体_GB2312" w:hAnsi="楷体" w:eastAsia="楷体_GB2312" w:cs="宋体"/>
          <w:kern w:val="0"/>
          <w:sz w:val="32"/>
          <w:szCs w:val="32"/>
        </w:rPr>
        <w:t>（一）企业法人单位数和从业人员。</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w:t>
      </w:r>
      <w:r>
        <w:rPr>
          <w:rFonts w:hint="eastAsia" w:ascii="仿宋_GB2312" w:hAnsi="宋体" w:eastAsia="仿宋_GB2312" w:cs="宋体"/>
          <w:kern w:val="0"/>
          <w:sz w:val="32"/>
          <w:szCs w:val="32"/>
          <w:lang w:eastAsia="zh-CN"/>
        </w:rPr>
        <w:t>全县</w:t>
      </w:r>
      <w:r>
        <w:rPr>
          <w:rFonts w:hint="eastAsia" w:ascii="仿宋_GB2312" w:hAnsi="宋体" w:eastAsia="仿宋_GB2312" w:cs="宋体"/>
          <w:kern w:val="0"/>
          <w:sz w:val="32"/>
          <w:szCs w:val="32"/>
        </w:rPr>
        <w:t>共有交通运输、仓储和邮政业企业法人单位</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个，从业人员</w:t>
      </w:r>
      <w:r>
        <w:rPr>
          <w:rFonts w:hint="eastAsia" w:ascii="仿宋_GB2312" w:hAnsi="宋体" w:eastAsia="仿宋_GB2312" w:cs="宋体"/>
          <w:kern w:val="0"/>
          <w:sz w:val="32"/>
          <w:szCs w:val="32"/>
          <w:lang w:val="en-US" w:eastAsia="zh-CN"/>
        </w:rPr>
        <w:t>1420</w:t>
      </w:r>
      <w:r>
        <w:rPr>
          <w:rFonts w:hint="eastAsia" w:ascii="仿宋_GB2312" w:hAnsi="宋体" w:eastAsia="仿宋_GB2312" w:cs="宋体"/>
          <w:kern w:val="0"/>
          <w:sz w:val="32"/>
          <w:szCs w:val="32"/>
        </w:rPr>
        <w:t>人，分别比2013年末增长</w:t>
      </w:r>
      <w:r>
        <w:rPr>
          <w:rFonts w:hint="eastAsia" w:ascii="仿宋_GB2312" w:hAnsi="宋体" w:eastAsia="仿宋_GB2312" w:cs="宋体"/>
          <w:kern w:val="0"/>
          <w:sz w:val="32"/>
          <w:szCs w:val="32"/>
          <w:lang w:val="en-US" w:eastAsia="zh-CN"/>
        </w:rPr>
        <w:t>170.27</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18.53</w:t>
      </w:r>
      <w:r>
        <w:rPr>
          <w:rFonts w:hint="eastAsia" w:ascii="仿宋_GB2312" w:hAnsi="宋体" w:eastAsia="仿宋_GB2312" w:cs="宋体"/>
          <w:kern w:val="0"/>
          <w:sz w:val="32"/>
          <w:szCs w:val="32"/>
        </w:rPr>
        <w:t>%（详见表4-4）。</w:t>
      </w:r>
    </w:p>
    <w:tbl>
      <w:tblPr>
        <w:tblStyle w:val="3"/>
        <w:tblW w:w="865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87"/>
        <w:gridCol w:w="2426"/>
        <w:gridCol w:w="24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8652" w:type="dxa"/>
            <w:gridSpan w:val="4"/>
            <w:tcBorders>
              <w:top w:val="nil"/>
              <w:left w:val="nil"/>
              <w:bottom w:val="single" w:color="auto" w:sz="12" w:space="0"/>
              <w:right w:val="nil"/>
            </w:tcBorders>
            <w:shd w:val="clear" w:color="auto" w:fill="FFFFFF"/>
            <w:vAlign w:val="center"/>
          </w:tcPr>
          <w:p>
            <w:pPr>
              <w:widowControl/>
              <w:spacing w:line="320" w:lineRule="atLeast"/>
              <w:ind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4-4</w:t>
            </w:r>
            <w:r>
              <w:rPr>
                <w:rFonts w:hint="eastAsia" w:ascii="宋体" w:hAnsi="宋体" w:eastAsia="宋体"/>
                <w:b/>
                <w:bCs/>
                <w:kern w:val="0"/>
                <w:sz w:val="24"/>
                <w:szCs w:val="24"/>
              </w:rPr>
              <w:t xml:space="preserve"> 按行业大类分组的交通运输、仓储和邮政业企业法人单位和从业人员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94" w:type="dxa"/>
            <w:gridSpan w:val="2"/>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2426"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（个）</w:t>
            </w:r>
          </w:p>
        </w:tc>
        <w:tc>
          <w:tcPr>
            <w:tcW w:w="2432"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426" w:type="dxa"/>
            <w:tcBorders>
              <w:top w:val="single" w:color="auto" w:sz="4" w:space="0"/>
              <w:left w:val="nil"/>
              <w:bottom w:val="nil"/>
              <w:right w:val="single" w:color="auto" w:sz="4" w:space="0"/>
            </w:tcBorders>
            <w:vAlign w:val="top"/>
          </w:tcPr>
          <w:p>
            <w:pPr>
              <w:jc w:val="right"/>
              <w:rPr>
                <w:rFonts w:hint="default" w:eastAsia="黑体"/>
                <w:b/>
                <w:bCs/>
                <w:lang w:val="en-US" w:eastAsia="zh-CN"/>
              </w:rPr>
            </w:pPr>
            <w:r>
              <w:rPr>
                <w:rFonts w:hint="eastAsia"/>
                <w:b/>
                <w:bCs/>
                <w:lang w:val="en-US" w:eastAsia="zh-CN"/>
              </w:rPr>
              <w:t>100</w:t>
            </w:r>
          </w:p>
        </w:tc>
        <w:tc>
          <w:tcPr>
            <w:tcW w:w="2432" w:type="dxa"/>
            <w:tcBorders>
              <w:top w:val="single" w:color="auto" w:sz="4" w:space="0"/>
              <w:left w:val="nil"/>
              <w:bottom w:val="nil"/>
              <w:right w:val="nil"/>
            </w:tcBorders>
            <w:vAlign w:val="top"/>
          </w:tcPr>
          <w:p>
            <w:pPr>
              <w:jc w:val="right"/>
              <w:rPr>
                <w:rFonts w:hint="default" w:eastAsia="黑体"/>
                <w:b/>
                <w:bCs/>
                <w:lang w:val="en-US" w:eastAsia="zh-CN"/>
              </w:rPr>
            </w:pPr>
            <w:r>
              <w:rPr>
                <w:rFonts w:hint="eastAsia"/>
                <w:b/>
                <w:bCs/>
                <w:lang w:val="en-US" w:eastAsia="zh-CN"/>
              </w:rPr>
              <w:t>1420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铁路运输业</w:t>
            </w:r>
          </w:p>
        </w:tc>
        <w:tc>
          <w:tcPr>
            <w:tcW w:w="2426" w:type="dxa"/>
            <w:tcBorders>
              <w:top w:val="nil"/>
              <w:left w:val="nil"/>
              <w:bottom w:val="nil"/>
              <w:right w:val="single" w:color="auto" w:sz="4" w:space="0"/>
            </w:tcBorders>
            <w:vAlign w:val="top"/>
          </w:tcPr>
          <w:p>
            <w:pPr>
              <w:jc w:val="right"/>
              <w:rPr>
                <w:rFonts w:hint="eastAsia" w:eastAsia="黑体"/>
                <w:lang w:val="en-US" w:eastAsia="zh-CN"/>
              </w:rPr>
            </w:pPr>
            <w:r>
              <w:rPr>
                <w:rFonts w:hint="eastAsia"/>
                <w:lang w:val="en-US" w:eastAsia="zh-CN"/>
              </w:rPr>
              <w:t>-</w:t>
            </w:r>
          </w:p>
        </w:tc>
        <w:tc>
          <w:tcPr>
            <w:tcW w:w="2432" w:type="dxa"/>
            <w:tcBorders>
              <w:top w:val="nil"/>
              <w:left w:val="nil"/>
              <w:bottom w:val="nil"/>
              <w:right w:val="nil"/>
            </w:tcBorders>
            <w:vAlign w:val="top"/>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道路运输业</w:t>
            </w:r>
          </w:p>
        </w:tc>
        <w:tc>
          <w:tcPr>
            <w:tcW w:w="2426"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69</w:t>
            </w:r>
          </w:p>
        </w:tc>
        <w:tc>
          <w:tcPr>
            <w:tcW w:w="2432"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1133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水上运输业</w:t>
            </w:r>
          </w:p>
        </w:tc>
        <w:tc>
          <w:tcPr>
            <w:tcW w:w="2426" w:type="dxa"/>
            <w:tcBorders>
              <w:top w:val="nil"/>
              <w:left w:val="nil"/>
              <w:bottom w:val="nil"/>
              <w:right w:val="single" w:color="auto" w:sz="4" w:space="0"/>
            </w:tcBorders>
            <w:vAlign w:val="top"/>
          </w:tcPr>
          <w:p>
            <w:pPr>
              <w:tabs>
                <w:tab w:val="center" w:pos="1208"/>
                <w:tab w:val="right" w:pos="2536"/>
              </w:tabs>
              <w:jc w:val="both"/>
              <w:rPr>
                <w:rFonts w:hint="eastAsia" w:eastAsia="黑体"/>
                <w:lang w:val="en-US" w:eastAsia="zh-CN"/>
              </w:rPr>
            </w:pP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0</w:t>
            </w:r>
          </w:p>
        </w:tc>
        <w:tc>
          <w:tcPr>
            <w:tcW w:w="2432" w:type="dxa"/>
            <w:tcBorders>
              <w:top w:val="nil"/>
              <w:left w:val="nil"/>
              <w:bottom w:val="nil"/>
              <w:right w:val="nil"/>
            </w:tcBorders>
            <w:vAlign w:val="top"/>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航空运输业</w:t>
            </w:r>
          </w:p>
        </w:tc>
        <w:tc>
          <w:tcPr>
            <w:tcW w:w="2426" w:type="dxa"/>
            <w:tcBorders>
              <w:top w:val="nil"/>
              <w:left w:val="nil"/>
              <w:bottom w:val="nil"/>
              <w:right w:val="single" w:color="auto" w:sz="4" w:space="0"/>
            </w:tcBorders>
            <w:vAlign w:val="top"/>
          </w:tcPr>
          <w:p>
            <w:pPr>
              <w:jc w:val="right"/>
              <w:rPr>
                <w:rFonts w:hint="eastAsia" w:eastAsia="黑体"/>
                <w:lang w:val="en-US" w:eastAsia="zh-CN"/>
              </w:rPr>
            </w:pPr>
            <w:r>
              <w:rPr>
                <w:rFonts w:hint="eastAsia"/>
                <w:lang w:val="en-US" w:eastAsia="zh-CN"/>
              </w:rPr>
              <w:t>-</w:t>
            </w:r>
          </w:p>
        </w:tc>
        <w:tc>
          <w:tcPr>
            <w:tcW w:w="2432" w:type="dxa"/>
            <w:tcBorders>
              <w:top w:val="nil"/>
              <w:left w:val="nil"/>
              <w:bottom w:val="nil"/>
              <w:right w:val="nil"/>
            </w:tcBorders>
            <w:vAlign w:val="top"/>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管道运输业</w:t>
            </w:r>
          </w:p>
        </w:tc>
        <w:tc>
          <w:tcPr>
            <w:tcW w:w="2426" w:type="dxa"/>
            <w:tcBorders>
              <w:top w:val="nil"/>
              <w:left w:val="nil"/>
              <w:bottom w:val="nil"/>
              <w:right w:val="single" w:color="auto" w:sz="4" w:space="0"/>
            </w:tcBorders>
            <w:vAlign w:val="top"/>
          </w:tcPr>
          <w:p>
            <w:pPr>
              <w:jc w:val="right"/>
              <w:rPr>
                <w:rFonts w:hint="eastAsia" w:eastAsia="黑体"/>
                <w:lang w:val="en-US" w:eastAsia="zh-CN"/>
              </w:rPr>
            </w:pPr>
            <w:r>
              <w:rPr>
                <w:rFonts w:hint="eastAsia"/>
                <w:lang w:val="en-US" w:eastAsia="zh-CN"/>
              </w:rPr>
              <w:t>2</w:t>
            </w:r>
          </w:p>
        </w:tc>
        <w:tc>
          <w:tcPr>
            <w:tcW w:w="2432"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多式联运和运输代理业</w:t>
            </w:r>
          </w:p>
        </w:tc>
        <w:tc>
          <w:tcPr>
            <w:tcW w:w="2426" w:type="dxa"/>
            <w:tcBorders>
              <w:top w:val="nil"/>
              <w:left w:val="nil"/>
              <w:bottom w:val="nil"/>
              <w:right w:val="single" w:color="auto" w:sz="4" w:space="0"/>
            </w:tcBorders>
            <w:vAlign w:val="top"/>
          </w:tcPr>
          <w:p>
            <w:pPr>
              <w:jc w:val="right"/>
              <w:rPr>
                <w:rFonts w:hint="eastAsia" w:eastAsia="黑体"/>
                <w:lang w:val="en-US" w:eastAsia="zh-CN"/>
              </w:rPr>
            </w:pPr>
            <w:r>
              <w:rPr>
                <w:rFonts w:hint="eastAsia"/>
                <w:lang w:val="en-US" w:eastAsia="zh-CN"/>
              </w:rPr>
              <w:t>2</w:t>
            </w:r>
          </w:p>
        </w:tc>
        <w:tc>
          <w:tcPr>
            <w:tcW w:w="2432" w:type="dxa"/>
            <w:tcBorders>
              <w:top w:val="nil"/>
              <w:left w:val="nil"/>
              <w:bottom w:val="nil"/>
              <w:right w:val="nil"/>
            </w:tcBorders>
            <w:vAlign w:val="top"/>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r>
              <w:rPr>
                <w:rFonts w:hint="eastAsia" w:ascii="宋体" w:hAnsi="宋体" w:eastAsia="宋体"/>
                <w:kern w:val="0"/>
              </w:rPr>
              <w:t xml:space="preserve"> 装卸搬运和仓储业</w:t>
            </w:r>
          </w:p>
        </w:tc>
        <w:tc>
          <w:tcPr>
            <w:tcW w:w="2426"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25</w:t>
            </w:r>
          </w:p>
        </w:tc>
        <w:tc>
          <w:tcPr>
            <w:tcW w:w="2432"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single" w:color="auto" w:sz="12" w:space="0"/>
              <w:right w:val="single" w:color="auto" w:sz="4" w:space="0"/>
            </w:tcBorders>
            <w:vAlign w:val="center"/>
          </w:tcPr>
          <w:p>
            <w:r>
              <w:rPr>
                <w:rFonts w:hint="eastAsia" w:ascii="宋体" w:hAnsi="宋体" w:eastAsia="宋体"/>
                <w:kern w:val="0"/>
              </w:rPr>
              <w:t xml:space="preserve"> 邮政业</w:t>
            </w:r>
          </w:p>
        </w:tc>
        <w:tc>
          <w:tcPr>
            <w:tcW w:w="2426" w:type="dxa"/>
            <w:tcBorders>
              <w:top w:val="nil"/>
              <w:left w:val="nil"/>
              <w:bottom w:val="single" w:color="auto" w:sz="12" w:space="0"/>
              <w:right w:val="single" w:color="auto" w:sz="4" w:space="0"/>
            </w:tcBorders>
            <w:vAlign w:val="top"/>
          </w:tcPr>
          <w:p>
            <w:pPr>
              <w:jc w:val="right"/>
              <w:rPr>
                <w:rFonts w:hint="eastAsia" w:eastAsia="黑体"/>
                <w:lang w:val="en-US" w:eastAsia="zh-CN"/>
              </w:rPr>
            </w:pPr>
            <w:r>
              <w:rPr>
                <w:rFonts w:hint="eastAsia"/>
                <w:lang w:val="en-US" w:eastAsia="zh-CN"/>
              </w:rPr>
              <w:t>2</w:t>
            </w:r>
          </w:p>
        </w:tc>
        <w:tc>
          <w:tcPr>
            <w:tcW w:w="2432" w:type="dxa"/>
            <w:tcBorders>
              <w:top w:val="nil"/>
              <w:left w:val="nil"/>
              <w:bottom w:val="single" w:color="auto" w:sz="12" w:space="0"/>
              <w:right w:val="nil"/>
            </w:tcBorders>
            <w:vAlign w:val="top"/>
          </w:tcPr>
          <w:p>
            <w:pPr>
              <w:jc w:val="right"/>
              <w:rPr>
                <w:rFonts w:hint="default" w:eastAsia="黑体"/>
                <w:lang w:val="en-US" w:eastAsia="zh-CN"/>
              </w:rPr>
            </w:pPr>
            <w:r>
              <w:rPr>
                <w:rFonts w:hint="eastAsia"/>
                <w:lang w:val="en-US" w:eastAsia="zh-CN"/>
              </w:rPr>
              <w:t>42</w:t>
            </w:r>
          </w:p>
        </w:tc>
      </w:tr>
    </w:tbl>
    <w:p>
      <w:pPr>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在交通运输、仓储和邮政业企业法人单位</w:t>
      </w:r>
      <w:r>
        <w:rPr>
          <w:rFonts w:hint="eastAsia" w:ascii="仿宋_GB2312" w:hAnsi="宋体" w:eastAsia="仿宋_GB2312" w:cs="宋体"/>
          <w:color w:val="000000"/>
          <w:kern w:val="0"/>
          <w:sz w:val="32"/>
          <w:szCs w:val="32"/>
          <w:lang w:val="en-US" w:eastAsia="zh-CN"/>
        </w:rPr>
        <w:t>的登记注册类型看，全部为内资企业</w:t>
      </w:r>
      <w:r>
        <w:rPr>
          <w:rFonts w:hint="eastAsia" w:ascii="仿宋_GB2312" w:hAnsi="宋体" w:eastAsia="仿宋_GB2312" w:cs="宋体"/>
          <w:color w:val="000000"/>
          <w:kern w:val="0"/>
          <w:sz w:val="32"/>
          <w:szCs w:val="32"/>
        </w:rPr>
        <w:t>（详见表4-5）。</w:t>
      </w:r>
    </w:p>
    <w:tbl>
      <w:tblPr>
        <w:tblStyle w:val="3"/>
        <w:tblW w:w="865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87"/>
        <w:gridCol w:w="2426"/>
        <w:gridCol w:w="24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52"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color w:val="000000"/>
                <w:kern w:val="0"/>
                <w:sz w:val="24"/>
                <w:szCs w:val="24"/>
              </w:rPr>
            </w:pPr>
            <w:r>
              <w:rPr>
                <w:rFonts w:hint="eastAsia" w:ascii="宋体" w:hAnsi="宋体" w:eastAsia="宋体"/>
                <w:b/>
                <w:bCs/>
                <w:color w:val="000000"/>
                <w:kern w:val="0"/>
                <w:sz w:val="24"/>
                <w:szCs w:val="24"/>
              </w:rPr>
              <w:t>表</w:t>
            </w:r>
            <w:r>
              <w:rPr>
                <w:rFonts w:hint="eastAsia"/>
                <w:b/>
                <w:bCs/>
                <w:color w:val="000000"/>
                <w:kern w:val="0"/>
                <w:sz w:val="24"/>
                <w:szCs w:val="24"/>
              </w:rPr>
              <w:t>4-5</w:t>
            </w:r>
            <w:r>
              <w:rPr>
                <w:rFonts w:hint="eastAsia" w:ascii="宋体" w:hAnsi="宋体" w:eastAsia="宋体"/>
                <w:b/>
                <w:bCs/>
                <w:color w:val="000000"/>
                <w:kern w:val="0"/>
                <w:sz w:val="24"/>
                <w:szCs w:val="24"/>
              </w:rPr>
              <w:t xml:space="preserve"> 按登记注册类型分组的交通运输、仓储和邮政业企业法人单位和从业人员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94"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color w:val="000000"/>
                <w:kern w:val="0"/>
                <w:sz w:val="18"/>
                <w:szCs w:val="18"/>
              </w:rPr>
            </w:pPr>
            <w:r>
              <w:rPr>
                <w:rFonts w:hint="eastAsia" w:ascii="宋体" w:hAnsi="宋体" w:eastAsia="宋体"/>
                <w:b/>
                <w:bCs/>
                <w:color w:val="000000"/>
                <w:kern w:val="0"/>
              </w:rPr>
              <w:t> </w:t>
            </w:r>
          </w:p>
        </w:tc>
        <w:tc>
          <w:tcPr>
            <w:tcW w:w="2426"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color w:val="000000"/>
                <w:kern w:val="0"/>
                <w:sz w:val="18"/>
                <w:szCs w:val="18"/>
              </w:rPr>
            </w:pPr>
            <w:r>
              <w:rPr>
                <w:rFonts w:hint="eastAsia" w:ascii="宋体" w:hAnsi="宋体" w:eastAsia="宋体"/>
                <w:b/>
                <w:bCs/>
                <w:color w:val="000000"/>
                <w:kern w:val="0"/>
              </w:rPr>
              <w:t>企业法人单位</w:t>
            </w:r>
          </w:p>
          <w:p>
            <w:pPr>
              <w:widowControl/>
              <w:spacing w:line="240" w:lineRule="atLeast"/>
              <w:ind w:left="57" w:right="57"/>
              <w:jc w:val="center"/>
              <w:rPr>
                <w:rFonts w:ascii="宋体" w:hAnsi="宋体" w:eastAsia="宋体"/>
                <w:b/>
                <w:bCs/>
                <w:color w:val="000000"/>
                <w:kern w:val="0"/>
                <w:sz w:val="18"/>
                <w:szCs w:val="18"/>
              </w:rPr>
            </w:pPr>
            <w:r>
              <w:rPr>
                <w:rFonts w:hint="eastAsia"/>
                <w:b/>
                <w:bCs/>
                <w:color w:val="000000"/>
                <w:kern w:val="0"/>
              </w:rPr>
              <w:t>(</w:t>
            </w:r>
            <w:r>
              <w:rPr>
                <w:rFonts w:hint="eastAsia" w:ascii="宋体" w:hAnsi="宋体" w:eastAsia="宋体"/>
                <w:b/>
                <w:bCs/>
                <w:color w:val="000000"/>
                <w:kern w:val="0"/>
              </w:rPr>
              <w:t>个</w:t>
            </w:r>
            <w:r>
              <w:rPr>
                <w:rFonts w:hint="eastAsia"/>
                <w:b/>
                <w:bCs/>
                <w:color w:val="000000"/>
                <w:kern w:val="0"/>
              </w:rPr>
              <w:t>)</w:t>
            </w:r>
          </w:p>
        </w:tc>
        <w:tc>
          <w:tcPr>
            <w:tcW w:w="2432"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color w:val="000000"/>
                <w:kern w:val="0"/>
                <w:sz w:val="18"/>
                <w:szCs w:val="18"/>
              </w:rPr>
            </w:pPr>
            <w:r>
              <w:rPr>
                <w:rFonts w:hint="eastAsia" w:ascii="宋体" w:hAnsi="宋体" w:eastAsia="宋体"/>
                <w:b/>
                <w:bCs/>
                <w:color w:val="000000"/>
                <w:kern w:val="0"/>
              </w:rPr>
              <w:t>从业人员</w:t>
            </w:r>
          </w:p>
          <w:p>
            <w:pPr>
              <w:widowControl/>
              <w:spacing w:line="240" w:lineRule="atLeast"/>
              <w:ind w:left="57" w:right="57"/>
              <w:jc w:val="center"/>
              <w:rPr>
                <w:rFonts w:ascii="宋体" w:hAnsi="宋体" w:eastAsia="宋体"/>
                <w:b/>
                <w:bCs/>
                <w:color w:val="000000"/>
                <w:kern w:val="0"/>
                <w:sz w:val="18"/>
                <w:szCs w:val="18"/>
              </w:rPr>
            </w:pPr>
            <w:r>
              <w:rPr>
                <w:rFonts w:hint="eastAsia"/>
                <w:b/>
                <w:bCs/>
                <w:color w:val="000000"/>
                <w:kern w:val="0"/>
              </w:rPr>
              <w:t>(</w:t>
            </w:r>
            <w:r>
              <w:rPr>
                <w:rFonts w:hint="eastAsia" w:ascii="宋体" w:hAnsi="宋体" w:eastAsia="宋体"/>
                <w:b/>
                <w:bCs/>
                <w:color w:val="000000"/>
                <w:kern w:val="0"/>
              </w:rPr>
              <w:t>人</w:t>
            </w:r>
            <w:r>
              <w:rPr>
                <w:rFonts w:hint="eastAsia"/>
                <w:b/>
                <w:bCs/>
                <w:color w:val="000000"/>
                <w:kern w:val="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color w:val="000000"/>
                <w:kern w:val="0"/>
                <w:sz w:val="18"/>
                <w:szCs w:val="18"/>
              </w:rPr>
            </w:pPr>
            <w:r>
              <w:rPr>
                <w:rFonts w:hint="eastAsia" w:ascii="宋体" w:hAnsi="宋体" w:eastAsia="宋体"/>
                <w:b/>
                <w:bCs/>
                <w:color w:val="000000"/>
                <w:kern w:val="0"/>
              </w:rPr>
              <w:t>合 计</w:t>
            </w:r>
          </w:p>
        </w:tc>
        <w:tc>
          <w:tcPr>
            <w:tcW w:w="2426" w:type="dxa"/>
            <w:tcBorders>
              <w:top w:val="single" w:color="auto" w:sz="4" w:space="0"/>
              <w:left w:val="nil"/>
              <w:bottom w:val="nil"/>
              <w:right w:val="single" w:color="auto" w:sz="4" w:space="0"/>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100</w:t>
            </w:r>
          </w:p>
        </w:tc>
        <w:tc>
          <w:tcPr>
            <w:tcW w:w="2432" w:type="dxa"/>
            <w:tcBorders>
              <w:top w:val="single" w:color="auto" w:sz="4" w:space="0"/>
              <w:left w:val="nil"/>
              <w:bottom w:val="nil"/>
              <w:right w:val="nil"/>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1420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color w:val="000000"/>
                <w:kern w:val="0"/>
                <w:sz w:val="18"/>
                <w:szCs w:val="18"/>
              </w:rPr>
            </w:pPr>
            <w:r>
              <w:rPr>
                <w:rFonts w:hint="eastAsia" w:ascii="宋体" w:hAnsi="宋体" w:eastAsia="宋体"/>
                <w:b/>
                <w:bCs/>
                <w:color w:val="000000"/>
                <w:kern w:val="0"/>
              </w:rPr>
              <w:t>内资企业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100</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eastAsia="宋体"/>
                <w:b/>
                <w:bCs/>
                <w:color w:val="000000"/>
                <w:kern w:val="0"/>
                <w:sz w:val="18"/>
                <w:szCs w:val="18"/>
                <w:lang w:val="en-US" w:eastAsia="zh-CN"/>
              </w:rPr>
              <w:t>1420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国有企业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1</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集体企业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3</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股份合作企业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联营企业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有限责任公司</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8</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645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股份有限公司</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私营企业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88</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770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color w:val="000000"/>
                <w:kern w:val="0"/>
                <w:sz w:val="18"/>
                <w:szCs w:val="18"/>
              </w:rPr>
            </w:pPr>
            <w:r>
              <w:rPr>
                <w:rFonts w:hint="eastAsia" w:ascii="宋体" w:hAnsi="宋体" w:eastAsia="宋体"/>
                <w:color w:val="000000"/>
                <w:kern w:val="0"/>
              </w:rPr>
              <w:t xml:space="preserve">   其他企业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87" w:hRule="atLeast"/>
          <w:jc w:val="center"/>
        </w:trPr>
        <w:tc>
          <w:tcPr>
            <w:tcW w:w="3787"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color w:val="000000"/>
                <w:kern w:val="0"/>
                <w:sz w:val="18"/>
                <w:szCs w:val="18"/>
              </w:rPr>
            </w:pPr>
            <w:r>
              <w:rPr>
                <w:rFonts w:hint="eastAsia" w:ascii="宋体" w:hAnsi="宋体" w:eastAsia="宋体"/>
                <w:b/>
                <w:bCs/>
                <w:color w:val="000000"/>
                <w:kern w:val="0"/>
              </w:rPr>
              <w:t>港、澳、台商投资企业</w:t>
            </w:r>
          </w:p>
        </w:tc>
        <w:tc>
          <w:tcPr>
            <w:tcW w:w="2426"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b/>
                <w:bCs/>
                <w:color w:val="000000"/>
                <w:kern w:val="0"/>
                <w:sz w:val="18"/>
                <w:szCs w:val="18"/>
                <w:lang w:val="en-US" w:eastAsia="zh-CN"/>
              </w:rPr>
              <w:t>-</w:t>
            </w:r>
          </w:p>
        </w:tc>
        <w:tc>
          <w:tcPr>
            <w:tcW w:w="2432" w:type="dxa"/>
            <w:tcBorders>
              <w:top w:val="nil"/>
              <w:left w:val="nil"/>
              <w:bottom w:val="nil"/>
              <w:right w:val="nil"/>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b/>
                <w:bCs/>
                <w:color w:val="000000"/>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87"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b/>
                <w:bCs/>
                <w:color w:val="000000"/>
                <w:kern w:val="0"/>
                <w:sz w:val="18"/>
                <w:szCs w:val="18"/>
              </w:rPr>
            </w:pPr>
            <w:r>
              <w:rPr>
                <w:rFonts w:hint="eastAsia" w:ascii="宋体" w:hAnsi="宋体" w:eastAsia="宋体"/>
                <w:b/>
                <w:bCs/>
                <w:color w:val="000000"/>
                <w:kern w:val="0"/>
              </w:rPr>
              <w:t>外商投资企业</w:t>
            </w:r>
          </w:p>
        </w:tc>
        <w:tc>
          <w:tcPr>
            <w:tcW w:w="2426" w:type="dxa"/>
            <w:tcBorders>
              <w:top w:val="nil"/>
              <w:left w:val="nil"/>
              <w:bottom w:val="single" w:color="auto" w:sz="12" w:space="0"/>
              <w:right w:val="single" w:color="auto" w:sz="4" w:space="0"/>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b/>
                <w:bCs/>
                <w:color w:val="000000"/>
                <w:kern w:val="0"/>
                <w:sz w:val="18"/>
                <w:szCs w:val="18"/>
                <w:lang w:val="en-US" w:eastAsia="zh-CN"/>
              </w:rPr>
              <w:t>-</w:t>
            </w:r>
          </w:p>
        </w:tc>
        <w:tc>
          <w:tcPr>
            <w:tcW w:w="2432" w:type="dxa"/>
            <w:tcBorders>
              <w:top w:val="nil"/>
              <w:left w:val="nil"/>
              <w:bottom w:val="single" w:color="auto" w:sz="12" w:space="0"/>
              <w:right w:val="nil"/>
            </w:tcBorders>
            <w:vAlign w:val="top"/>
          </w:tcPr>
          <w:p>
            <w:pPr>
              <w:widowControl/>
              <w:spacing w:line="240" w:lineRule="atLeast"/>
              <w:ind w:left="57" w:right="57"/>
              <w:jc w:val="right"/>
              <w:rPr>
                <w:rFonts w:hint="default" w:ascii="宋体" w:hAnsi="宋体" w:eastAsia="宋体"/>
                <w:b/>
                <w:bCs/>
                <w:color w:val="000000"/>
                <w:kern w:val="0"/>
                <w:sz w:val="18"/>
                <w:szCs w:val="18"/>
                <w:lang w:val="en-US" w:eastAsia="zh-CN"/>
              </w:rPr>
            </w:pPr>
            <w:r>
              <w:rPr>
                <w:rFonts w:hint="eastAsia" w:ascii="宋体" w:hAnsi="宋体"/>
                <w:b/>
                <w:bCs/>
                <w:color w:val="000000"/>
                <w:kern w:val="0"/>
                <w:sz w:val="18"/>
                <w:szCs w:val="18"/>
                <w:lang w:val="en-US" w:eastAsia="zh-CN"/>
              </w:rPr>
              <w:t>-</w:t>
            </w:r>
          </w:p>
        </w:tc>
      </w:tr>
    </w:tbl>
    <w:p>
      <w:pPr>
        <w:widowControl/>
        <w:spacing w:line="620" w:lineRule="exact"/>
        <w:ind w:firstLine="640" w:firstLineChars="200"/>
        <w:rPr>
          <w:rFonts w:hint="eastAsia" w:ascii="楷体_GB2312" w:hAnsi="楷体" w:eastAsia="楷体_GB2312" w:cs="宋体"/>
          <w:color w:val="000000"/>
          <w:kern w:val="0"/>
          <w:sz w:val="32"/>
          <w:szCs w:val="32"/>
        </w:rPr>
      </w:pPr>
      <w:r>
        <w:rPr>
          <w:rFonts w:hint="eastAsia" w:ascii="楷体_GB2312" w:hAnsi="楷体" w:eastAsia="楷体_GB2312" w:cs="宋体"/>
          <w:color w:val="000000"/>
          <w:kern w:val="0"/>
          <w:sz w:val="32"/>
          <w:szCs w:val="32"/>
        </w:rPr>
        <w:t>（二）主要经济指标。</w:t>
      </w: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2018年末，交通运输、仓储和邮政业企业法人单位资产总计</w:t>
      </w:r>
      <w:r>
        <w:rPr>
          <w:rFonts w:hint="eastAsia" w:ascii="仿宋_GB2312" w:hAnsi="宋体" w:eastAsia="仿宋_GB2312" w:cs="宋体"/>
          <w:kern w:val="0"/>
          <w:sz w:val="32"/>
          <w:szCs w:val="32"/>
          <w:lang w:val="en-US" w:eastAsia="zh-CN"/>
        </w:rPr>
        <w:t>103775.64万</w:t>
      </w:r>
      <w:r>
        <w:rPr>
          <w:rFonts w:hint="eastAsia" w:ascii="仿宋_GB2312" w:hAnsi="宋体" w:eastAsia="仿宋_GB2312" w:cs="宋体"/>
          <w:kern w:val="0"/>
          <w:sz w:val="32"/>
          <w:szCs w:val="32"/>
        </w:rPr>
        <w:t>元，比2013年末增长</w:t>
      </w:r>
      <w:r>
        <w:rPr>
          <w:rFonts w:hint="eastAsia" w:ascii="仿宋_GB2312" w:hAnsi="宋体"/>
          <w:kern w:val="0"/>
          <w:sz w:val="32"/>
          <w:szCs w:val="32"/>
          <w:lang w:val="en-US" w:eastAsia="zh-CN"/>
        </w:rPr>
        <w:t>160.55</w:t>
      </w:r>
      <w:r>
        <w:rPr>
          <w:rFonts w:ascii="仿宋_GB2312" w:hAnsi="宋体"/>
          <w:kern w:val="0"/>
          <w:sz w:val="32"/>
          <w:szCs w:val="32"/>
        </w:rPr>
        <w:t>%</w:t>
      </w:r>
      <w:r>
        <w:rPr>
          <w:rFonts w:hint="eastAsia" w:ascii="仿宋_GB2312" w:hAnsi="宋体"/>
          <w:kern w:val="0"/>
          <w:sz w:val="32"/>
          <w:szCs w:val="32"/>
          <w:lang w:eastAsia="zh-CN"/>
        </w:rPr>
        <w:t>。</w:t>
      </w:r>
      <w:r>
        <w:rPr>
          <w:rFonts w:hint="eastAsia" w:ascii="仿宋_GB2312" w:hAnsi="宋体" w:eastAsia="仿宋_GB2312" w:cs="宋体"/>
          <w:kern w:val="0"/>
          <w:sz w:val="32"/>
          <w:szCs w:val="32"/>
        </w:rPr>
        <w:t>负债合计</w:t>
      </w:r>
      <w:r>
        <w:rPr>
          <w:rFonts w:hint="eastAsia" w:ascii="仿宋_GB2312" w:hAnsi="宋体" w:eastAsia="仿宋_GB2312" w:cs="宋体"/>
          <w:kern w:val="0"/>
          <w:sz w:val="32"/>
          <w:szCs w:val="32"/>
          <w:lang w:val="en-US" w:eastAsia="zh-CN"/>
        </w:rPr>
        <w:t>54801.06万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全年实现营业收入</w:t>
      </w:r>
      <w:r>
        <w:rPr>
          <w:rFonts w:hint="eastAsia" w:ascii="仿宋_GB2312" w:hAnsi="宋体" w:eastAsia="仿宋_GB2312" w:cs="宋体"/>
          <w:kern w:val="0"/>
          <w:sz w:val="32"/>
          <w:szCs w:val="32"/>
          <w:lang w:val="en-US" w:eastAsia="zh-CN"/>
        </w:rPr>
        <w:t>84125.63万</w:t>
      </w:r>
      <w:r>
        <w:rPr>
          <w:rFonts w:hint="eastAsia" w:ascii="仿宋_GB2312" w:hAnsi="宋体" w:eastAsia="仿宋_GB2312" w:cs="宋体"/>
          <w:kern w:val="0"/>
          <w:sz w:val="32"/>
          <w:szCs w:val="32"/>
        </w:rPr>
        <w:t>元（详见表4-6）。</w:t>
      </w:r>
    </w:p>
    <w:tbl>
      <w:tblPr>
        <w:tblStyle w:val="3"/>
        <w:tblW w:w="843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4" w:hRule="atLeast"/>
          <w:jc w:val="center"/>
        </w:trPr>
        <w:tc>
          <w:tcPr>
            <w:tcW w:w="8435" w:type="dxa"/>
            <w:gridSpan w:val="4"/>
            <w:tcBorders>
              <w:top w:val="nil"/>
              <w:left w:val="nil"/>
              <w:bottom w:val="single" w:color="auto" w:sz="12" w:space="0"/>
              <w:right w:val="nil"/>
            </w:tcBorders>
            <w:shd w:val="clear" w:color="auto" w:fill="FFFFFF"/>
            <w:vAlign w:val="center"/>
          </w:tcPr>
          <w:p>
            <w:pPr>
              <w:widowControl/>
              <w:spacing w:line="320" w:lineRule="atLeast"/>
              <w:ind w:right="57"/>
              <w:jc w:val="center"/>
              <w:rPr>
                <w:rFonts w:ascii="宋体" w:hAnsi="宋体" w:eastAsia="宋体"/>
                <w:b/>
                <w:bCs/>
                <w:kern w:val="0"/>
                <w:sz w:val="24"/>
                <w:szCs w:val="24"/>
              </w:rPr>
            </w:pPr>
            <w:r>
              <w:rPr>
                <w:rFonts w:hint="eastAsia" w:ascii="宋体" w:hAnsi="宋体" w:eastAsia="宋体"/>
                <w:b/>
                <w:bCs/>
                <w:kern w:val="0"/>
                <w:sz w:val="24"/>
                <w:szCs w:val="24"/>
              </w:rPr>
              <w:t>表4-6 按行业大类分组的交通运输、仓储和邮政业企业法人单位主要经济指标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tcBorders>
              <w:top w:val="nil"/>
              <w:left w:val="nil"/>
              <w:bottom w:val="single" w:color="auto" w:sz="4" w:space="0"/>
              <w:right w:val="single" w:color="auto" w:sz="4" w:space="0"/>
            </w:tcBorders>
            <w:vAlign w:val="center"/>
          </w:tcPr>
          <w:p>
            <w:pPr>
              <w:widowControl/>
              <w:spacing w:line="240" w:lineRule="atLeast"/>
              <w:ind w:right="57"/>
              <w:rPr>
                <w:rFonts w:ascii="宋体" w:hAnsi="宋体" w:eastAsia="宋体"/>
                <w:b/>
                <w:bCs/>
                <w:kern w:val="0"/>
                <w:sz w:val="18"/>
                <w:szCs w:val="18"/>
              </w:rPr>
            </w:pP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669"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1540" w:type="dxa"/>
            <w:tcBorders>
              <w:top w:val="single" w:color="auto" w:sz="4" w:space="0"/>
              <w:left w:val="nil"/>
              <w:bottom w:val="nil"/>
              <w:right w:val="single" w:color="auto" w:sz="4" w:space="0"/>
            </w:tcBorders>
            <w:vAlign w:val="top"/>
          </w:tcPr>
          <w:p>
            <w:pPr>
              <w:widowControl/>
              <w:tabs>
                <w:tab w:val="left" w:pos="595"/>
              </w:tabs>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103775.64</w:t>
            </w:r>
          </w:p>
        </w:tc>
        <w:tc>
          <w:tcPr>
            <w:tcW w:w="1540" w:type="dxa"/>
            <w:tcBorders>
              <w:top w:val="single" w:color="auto" w:sz="4" w:space="0"/>
              <w:left w:val="nil"/>
              <w:bottom w:val="nil"/>
              <w:right w:val="single" w:color="auto" w:sz="4" w:space="0"/>
            </w:tcBorders>
            <w:vAlign w:val="top"/>
          </w:tcPr>
          <w:p>
            <w:pPr>
              <w:widowControl/>
              <w:tabs>
                <w:tab w:val="left" w:pos="480"/>
              </w:tabs>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54801.06</w:t>
            </w:r>
          </w:p>
        </w:tc>
        <w:tc>
          <w:tcPr>
            <w:tcW w:w="1669" w:type="dxa"/>
            <w:tcBorders>
              <w:top w:val="single" w:color="auto" w:sz="4" w:space="0"/>
              <w:left w:val="nil"/>
              <w:bottom w:val="nil"/>
              <w:right w:val="nil"/>
            </w:tcBorders>
            <w:vAlign w:val="top"/>
          </w:tcPr>
          <w:p>
            <w:pPr>
              <w:widowControl/>
              <w:tabs>
                <w:tab w:val="left" w:pos="590"/>
              </w:tabs>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84125.63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铁路运输业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669"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道路运输业</w:t>
            </w:r>
          </w:p>
        </w:tc>
        <w:tc>
          <w:tcPr>
            <w:tcW w:w="1540" w:type="dxa"/>
            <w:tcBorders>
              <w:top w:val="nil"/>
              <w:left w:val="nil"/>
              <w:bottom w:val="nil"/>
              <w:right w:val="single" w:color="auto" w:sz="4" w:space="0"/>
            </w:tcBorders>
            <w:vAlign w:val="top"/>
          </w:tcPr>
          <w:p>
            <w:pPr>
              <w:widowControl/>
              <w:tabs>
                <w:tab w:val="left" w:pos="625"/>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80867.11</w:t>
            </w:r>
          </w:p>
        </w:tc>
        <w:tc>
          <w:tcPr>
            <w:tcW w:w="1540" w:type="dxa"/>
            <w:tcBorders>
              <w:top w:val="nil"/>
              <w:left w:val="nil"/>
              <w:bottom w:val="nil"/>
              <w:right w:val="single" w:color="auto" w:sz="4" w:space="0"/>
            </w:tcBorders>
            <w:vAlign w:val="top"/>
          </w:tcPr>
          <w:p>
            <w:pPr>
              <w:widowControl/>
              <w:tabs>
                <w:tab w:val="left" w:pos="555"/>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50774.56</w:t>
            </w:r>
          </w:p>
        </w:tc>
        <w:tc>
          <w:tcPr>
            <w:tcW w:w="1669" w:type="dxa"/>
            <w:tcBorders>
              <w:top w:val="nil"/>
              <w:left w:val="nil"/>
              <w:bottom w:val="nil"/>
              <w:right w:val="nil"/>
            </w:tcBorders>
            <w:vAlign w:val="top"/>
          </w:tcPr>
          <w:p>
            <w:pPr>
              <w:widowControl/>
              <w:spacing w:line="240" w:lineRule="atLeast"/>
              <w:ind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70710.43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水上运输业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c>
          <w:tcPr>
            <w:tcW w:w="1669" w:type="dxa"/>
            <w:tcBorders>
              <w:top w:val="nil"/>
              <w:left w:val="nil"/>
              <w:bottom w:val="nil"/>
              <w:right w:val="nil"/>
            </w:tcBorders>
            <w:vAlign w:val="top"/>
          </w:tcPr>
          <w:p>
            <w:pPr>
              <w:widowControl/>
              <w:tabs>
                <w:tab w:val="left" w:pos="620"/>
              </w:tabs>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航空运输业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669" w:type="dxa"/>
            <w:tcBorders>
              <w:top w:val="nil"/>
              <w:left w:val="nil"/>
              <w:bottom w:val="nil"/>
              <w:right w:val="nil"/>
            </w:tcBorders>
            <w:vAlign w:val="top"/>
          </w:tcPr>
          <w:p>
            <w:pPr>
              <w:widowControl/>
              <w:tabs>
                <w:tab w:val="left" w:pos="620"/>
              </w:tabs>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管道运输业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16957.55</w:t>
            </w:r>
          </w:p>
        </w:tc>
        <w:tc>
          <w:tcPr>
            <w:tcW w:w="1540" w:type="dxa"/>
            <w:tcBorders>
              <w:top w:val="nil"/>
              <w:left w:val="nil"/>
              <w:bottom w:val="nil"/>
              <w:right w:val="single" w:color="auto" w:sz="4" w:space="0"/>
            </w:tcBorders>
            <w:vAlign w:val="top"/>
          </w:tcPr>
          <w:p>
            <w:pPr>
              <w:widowControl/>
              <w:tabs>
                <w:tab w:val="left" w:pos="450"/>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1799.45</w:t>
            </w:r>
          </w:p>
        </w:tc>
        <w:tc>
          <w:tcPr>
            <w:tcW w:w="1669" w:type="dxa"/>
            <w:tcBorders>
              <w:top w:val="nil"/>
              <w:left w:val="nil"/>
              <w:bottom w:val="nil"/>
              <w:right w:val="nil"/>
            </w:tcBorders>
            <w:vAlign w:val="top"/>
          </w:tcPr>
          <w:p>
            <w:pPr>
              <w:widowControl/>
              <w:tabs>
                <w:tab w:val="left" w:pos="560"/>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10550.13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多式联运和运输代理业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c>
          <w:tcPr>
            <w:tcW w:w="1669" w:type="dxa"/>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装卸搬运和仓储业</w:t>
            </w:r>
          </w:p>
        </w:tc>
        <w:tc>
          <w:tcPr>
            <w:tcW w:w="1540" w:type="dxa"/>
            <w:tcBorders>
              <w:top w:val="nil"/>
              <w:left w:val="nil"/>
              <w:bottom w:val="nil"/>
              <w:right w:val="single" w:color="auto" w:sz="4" w:space="0"/>
            </w:tcBorders>
            <w:vAlign w:val="top"/>
          </w:tcPr>
          <w:p>
            <w:pPr>
              <w:widowControl/>
              <w:tabs>
                <w:tab w:val="left" w:pos="640"/>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5850.88</w:t>
            </w:r>
          </w:p>
        </w:tc>
        <w:tc>
          <w:tcPr>
            <w:tcW w:w="1540" w:type="dxa"/>
            <w:tcBorders>
              <w:top w:val="nil"/>
              <w:left w:val="nil"/>
              <w:bottom w:val="nil"/>
              <w:right w:val="single" w:color="auto" w:sz="4" w:space="0"/>
            </w:tcBorders>
            <w:vAlign w:val="top"/>
          </w:tcPr>
          <w:p>
            <w:pPr>
              <w:widowControl/>
              <w:tabs>
                <w:tab w:val="left" w:pos="615"/>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2227.18</w:t>
            </w:r>
          </w:p>
        </w:tc>
        <w:tc>
          <w:tcPr>
            <w:tcW w:w="1669" w:type="dxa"/>
            <w:tcBorders>
              <w:top w:val="nil"/>
              <w:left w:val="nil"/>
              <w:bottom w:val="nil"/>
              <w:right w:val="nil"/>
            </w:tcBorders>
            <w:vAlign w:val="top"/>
          </w:tcPr>
          <w:p>
            <w:pPr>
              <w:widowControl/>
              <w:tabs>
                <w:tab w:val="left" w:pos="635"/>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2644.57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single" w:color="auto" w:sz="12" w:space="0"/>
              <w:right w:val="single" w:color="auto" w:sz="4" w:space="0"/>
            </w:tcBorders>
            <w:vAlign w:val="center"/>
          </w:tcPr>
          <w:p>
            <w:r>
              <w:rPr>
                <w:rFonts w:hint="eastAsia" w:ascii="宋体" w:hAnsi="宋体" w:eastAsia="宋体"/>
                <w:kern w:val="0"/>
              </w:rPr>
              <w:t xml:space="preserve"> 邮政业</w:t>
            </w:r>
          </w:p>
        </w:tc>
        <w:tc>
          <w:tcPr>
            <w:tcW w:w="1540" w:type="dxa"/>
            <w:tcBorders>
              <w:top w:val="nil"/>
              <w:left w:val="nil"/>
              <w:bottom w:val="single" w:color="auto" w:sz="12" w:space="0"/>
              <w:right w:val="single" w:color="auto" w:sz="4" w:space="0"/>
            </w:tcBorders>
            <w:vAlign w:val="top"/>
          </w:tcPr>
          <w:p>
            <w:pPr>
              <w:widowControl/>
              <w:tabs>
                <w:tab w:val="left" w:pos="640"/>
              </w:tabs>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100</w:t>
            </w:r>
          </w:p>
        </w:tc>
        <w:tc>
          <w:tcPr>
            <w:tcW w:w="1540" w:type="dxa"/>
            <w:tcBorders>
              <w:top w:val="nil"/>
              <w:left w:val="nil"/>
              <w:bottom w:val="single" w:color="auto" w:sz="12" w:space="0"/>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669" w:type="dxa"/>
            <w:tcBorders>
              <w:top w:val="nil"/>
              <w:left w:val="nil"/>
              <w:bottom w:val="single" w:color="auto" w:sz="12" w:space="0"/>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220.5</w:t>
            </w:r>
          </w:p>
        </w:tc>
      </w:tr>
    </w:tbl>
    <w:p>
      <w:pPr>
        <w:widowControl/>
        <w:spacing w:line="62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三、住宿和餐饮业</w:t>
      </w:r>
    </w:p>
    <w:p>
      <w:pPr>
        <w:widowControl/>
        <w:spacing w:line="620" w:lineRule="exact"/>
        <w:ind w:firstLine="640" w:firstLineChars="200"/>
        <w:rPr>
          <w:rFonts w:hint="eastAsia" w:ascii="楷体_GB2312" w:hAnsi="楷体" w:eastAsia="楷体_GB2312" w:cs="楷体_GB2312"/>
          <w:kern w:val="0"/>
          <w:sz w:val="32"/>
          <w:szCs w:val="32"/>
        </w:rPr>
      </w:pPr>
      <w:r>
        <w:rPr>
          <w:rFonts w:hint="eastAsia" w:ascii="楷体_GB2312" w:hAnsi="楷体" w:eastAsia="楷体_GB2312" w:cs="楷体_GB2312"/>
          <w:kern w:val="0"/>
          <w:sz w:val="32"/>
          <w:szCs w:val="32"/>
        </w:rPr>
        <w:t>（一）企业法人单位数和从业人员。</w:t>
      </w:r>
    </w:p>
    <w:p>
      <w:pPr>
        <w:widowControl/>
        <w:spacing w:line="6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共有住宿和餐饮业企业法人单位</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个，比2013年末增长</w:t>
      </w:r>
      <w:r>
        <w:rPr>
          <w:rFonts w:hint="eastAsia" w:ascii="仿宋_GB2312" w:hAnsi="宋体" w:eastAsia="仿宋_GB2312" w:cs="宋体"/>
          <w:kern w:val="0"/>
          <w:sz w:val="32"/>
          <w:szCs w:val="32"/>
          <w:lang w:val="en-US" w:eastAsia="zh-CN"/>
        </w:rPr>
        <w:t>76.47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从业人员</w:t>
      </w:r>
      <w:r>
        <w:rPr>
          <w:rFonts w:hint="eastAsia" w:ascii="仿宋_GB2312" w:hAnsi="宋体" w:eastAsia="仿宋_GB2312" w:cs="宋体"/>
          <w:kern w:val="0"/>
          <w:sz w:val="32"/>
          <w:szCs w:val="32"/>
          <w:lang w:val="en-US" w:eastAsia="zh-CN"/>
        </w:rPr>
        <w:t>335</w:t>
      </w:r>
      <w:r>
        <w:rPr>
          <w:rFonts w:hint="eastAsia" w:ascii="仿宋_GB2312" w:hAnsi="宋体" w:eastAsia="仿宋_GB2312" w:cs="宋体"/>
          <w:kern w:val="0"/>
          <w:sz w:val="32"/>
          <w:szCs w:val="32"/>
        </w:rPr>
        <w:t>人，比2013年末</w:t>
      </w:r>
      <w:r>
        <w:rPr>
          <w:rFonts w:hint="eastAsia" w:ascii="仿宋_GB2312" w:hAnsi="宋体" w:eastAsia="仿宋_GB2312" w:cs="宋体"/>
          <w:kern w:val="0"/>
          <w:sz w:val="32"/>
          <w:szCs w:val="32"/>
          <w:lang w:val="en-US" w:eastAsia="zh-CN"/>
        </w:rPr>
        <w:t>下降18.29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在住宿和餐饮业企业法人单位中，住宿业占</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%，餐饮业占</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%。在住宿和餐饮业企业法人单位从业人员中，住宿业占</w:t>
      </w:r>
      <w:r>
        <w:rPr>
          <w:rFonts w:hint="eastAsia" w:ascii="仿宋_GB2312" w:hAnsi="宋体" w:eastAsia="仿宋_GB2312" w:cs="宋体"/>
          <w:kern w:val="0"/>
          <w:sz w:val="32"/>
          <w:szCs w:val="32"/>
          <w:lang w:val="en-US" w:eastAsia="zh-CN"/>
        </w:rPr>
        <w:t>72.54</w:t>
      </w:r>
      <w:r>
        <w:rPr>
          <w:rFonts w:hint="eastAsia" w:ascii="仿宋_GB2312" w:hAnsi="宋体" w:eastAsia="仿宋_GB2312" w:cs="宋体"/>
          <w:kern w:val="0"/>
          <w:sz w:val="32"/>
          <w:szCs w:val="32"/>
        </w:rPr>
        <w:t>%，餐饮业占</w:t>
      </w:r>
      <w:r>
        <w:rPr>
          <w:rFonts w:hint="eastAsia" w:ascii="仿宋_GB2312" w:hAnsi="宋体" w:eastAsia="仿宋_GB2312" w:cs="宋体"/>
          <w:kern w:val="0"/>
          <w:sz w:val="32"/>
          <w:szCs w:val="32"/>
          <w:lang w:val="en-US" w:eastAsia="zh-CN"/>
        </w:rPr>
        <w:t>27.46</w:t>
      </w:r>
      <w:r>
        <w:rPr>
          <w:rFonts w:hint="eastAsia" w:ascii="仿宋_GB2312" w:hAnsi="宋体" w:eastAsia="仿宋_GB2312" w:cs="宋体"/>
          <w:kern w:val="0"/>
          <w:sz w:val="32"/>
          <w:szCs w:val="32"/>
        </w:rPr>
        <w:t>%（详见表4-7）。</w:t>
      </w:r>
    </w:p>
    <w:tbl>
      <w:tblPr>
        <w:tblStyle w:val="3"/>
        <w:tblW w:w="83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13"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4-7</w:t>
            </w:r>
            <w:r>
              <w:rPr>
                <w:rFonts w:hint="eastAsia" w:ascii="宋体" w:hAnsi="宋体" w:eastAsia="宋体"/>
                <w:b/>
                <w:bCs/>
                <w:kern w:val="0"/>
                <w:sz w:val="24"/>
                <w:szCs w:val="24"/>
              </w:rPr>
              <w:t xml:space="preserve"> 按行业中类分组的住宿和餐饮业企业法人单位和从业人员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20"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p>
        </w:tc>
        <w:tc>
          <w:tcPr>
            <w:tcW w:w="2661"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（个）</w:t>
            </w:r>
          </w:p>
        </w:tc>
        <w:tc>
          <w:tcPr>
            <w:tcW w:w="1932"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val="en-US" w:eastAsia="zh-CN"/>
              </w:rPr>
              <w:t>个</w:t>
            </w:r>
            <w:r>
              <w:rPr>
                <w:rFonts w:hint="eastAsia" w:ascii="宋体" w:hAnsi="宋体" w:eastAsia="宋体"/>
                <w:b/>
                <w:bCs/>
                <w:kern w:val="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661" w:type="dxa"/>
            <w:tcBorders>
              <w:top w:val="single" w:color="auto" w:sz="4" w:space="0"/>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30</w:t>
            </w:r>
          </w:p>
        </w:tc>
        <w:tc>
          <w:tcPr>
            <w:tcW w:w="1932" w:type="dxa"/>
            <w:tcBorders>
              <w:top w:val="single" w:color="auto" w:sz="4" w:space="0"/>
              <w:left w:val="nil"/>
              <w:bottom w:val="nil"/>
              <w:right w:val="nil"/>
            </w:tcBorders>
            <w:vAlign w:val="center"/>
          </w:tcPr>
          <w:p>
            <w:pPr>
              <w:jc w:val="right"/>
              <w:rPr>
                <w:rFonts w:hint="default" w:eastAsia="黑体"/>
                <w:b/>
                <w:bCs/>
                <w:lang w:val="en-US" w:eastAsia="zh-CN"/>
              </w:rPr>
            </w:pPr>
            <w:r>
              <w:rPr>
                <w:rFonts w:hint="eastAsia"/>
                <w:b/>
                <w:bCs/>
                <w:lang w:val="en-US" w:eastAsia="zh-CN"/>
              </w:rPr>
              <w:t>335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住宿业</w:t>
            </w:r>
          </w:p>
        </w:tc>
        <w:tc>
          <w:tcPr>
            <w:tcW w:w="2661"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18</w:t>
            </w:r>
          </w:p>
        </w:tc>
        <w:tc>
          <w:tcPr>
            <w:tcW w:w="1932" w:type="dxa"/>
            <w:tcBorders>
              <w:top w:val="nil"/>
              <w:left w:val="nil"/>
              <w:bottom w:val="nil"/>
              <w:right w:val="nil"/>
            </w:tcBorders>
            <w:vAlign w:val="center"/>
          </w:tcPr>
          <w:p>
            <w:pPr>
              <w:jc w:val="right"/>
              <w:rPr>
                <w:rFonts w:hint="default" w:eastAsia="黑体"/>
                <w:b/>
                <w:bCs/>
                <w:lang w:val="en-US" w:eastAsia="zh-CN"/>
              </w:rPr>
            </w:pPr>
            <w:r>
              <w:rPr>
                <w:rFonts w:hint="eastAsia"/>
                <w:b/>
                <w:bCs/>
                <w:lang w:val="en-US" w:eastAsia="zh-CN"/>
              </w:rPr>
              <w:t>243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旅游饭店</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4</w:t>
            </w:r>
          </w:p>
        </w:tc>
        <w:tc>
          <w:tcPr>
            <w:tcW w:w="1932"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一般旅馆</w:t>
            </w:r>
          </w:p>
        </w:tc>
        <w:tc>
          <w:tcPr>
            <w:tcW w:w="2661"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11</w:t>
            </w:r>
          </w:p>
        </w:tc>
        <w:tc>
          <w:tcPr>
            <w:tcW w:w="1932"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rPr>
            </w:pPr>
            <w:r>
              <w:rPr>
                <w:rFonts w:hint="eastAsia" w:ascii="宋体" w:hAnsi="宋体" w:eastAsia="宋体"/>
                <w:kern w:val="0"/>
              </w:rPr>
              <w:t>    民宿服务</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1</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rPr>
            </w:pPr>
            <w:r>
              <w:rPr>
                <w:rFonts w:hint="eastAsia" w:ascii="宋体" w:hAnsi="宋体" w:eastAsia="宋体"/>
                <w:kern w:val="0"/>
              </w:rPr>
              <w:t xml:space="preserve">    露营地服务</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其他住宿业</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2</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餐饮业</w:t>
            </w:r>
          </w:p>
        </w:tc>
        <w:tc>
          <w:tcPr>
            <w:tcW w:w="2661"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12</w:t>
            </w:r>
          </w:p>
        </w:tc>
        <w:tc>
          <w:tcPr>
            <w:tcW w:w="1932" w:type="dxa"/>
            <w:tcBorders>
              <w:top w:val="nil"/>
              <w:left w:val="nil"/>
              <w:bottom w:val="nil"/>
              <w:right w:val="nil"/>
            </w:tcBorders>
            <w:vAlign w:val="center"/>
          </w:tcPr>
          <w:p>
            <w:pPr>
              <w:jc w:val="right"/>
              <w:rPr>
                <w:rFonts w:hint="default" w:eastAsia="黑体"/>
                <w:b/>
                <w:bCs/>
                <w:lang w:val="en-US" w:eastAsia="zh-CN"/>
              </w:rPr>
            </w:pPr>
            <w:r>
              <w:rPr>
                <w:rFonts w:hint="eastAsia"/>
                <w:b/>
                <w:bCs/>
                <w:lang w:val="en-US" w:eastAsia="zh-CN"/>
              </w:rPr>
              <w:t>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正餐服务</w:t>
            </w:r>
          </w:p>
        </w:tc>
        <w:tc>
          <w:tcPr>
            <w:tcW w:w="2661"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10</w:t>
            </w:r>
          </w:p>
        </w:tc>
        <w:tc>
          <w:tcPr>
            <w:tcW w:w="1932"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快餐服务</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1</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饮料及冷饮服务</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1</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rPr>
            </w:pPr>
            <w:r>
              <w:rPr>
                <w:rFonts w:hint="eastAsia" w:ascii="宋体" w:hAnsi="宋体" w:eastAsia="宋体"/>
                <w:kern w:val="0"/>
              </w:rPr>
              <w:t xml:space="preserve">    餐饮配送及外卖送餐服务</w:t>
            </w:r>
          </w:p>
        </w:tc>
        <w:tc>
          <w:tcPr>
            <w:tcW w:w="2661"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2"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其他餐饮业</w:t>
            </w:r>
          </w:p>
        </w:tc>
        <w:tc>
          <w:tcPr>
            <w:tcW w:w="2661" w:type="dxa"/>
            <w:tcBorders>
              <w:top w:val="nil"/>
              <w:left w:val="nil"/>
              <w:bottom w:val="single" w:color="auto" w:sz="12" w:space="0"/>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2" w:type="dxa"/>
            <w:tcBorders>
              <w:top w:val="nil"/>
              <w:left w:val="nil"/>
              <w:bottom w:val="single" w:color="auto" w:sz="12" w:space="0"/>
              <w:right w:val="nil"/>
            </w:tcBorders>
            <w:vAlign w:val="center"/>
          </w:tcPr>
          <w:p>
            <w:pPr>
              <w:jc w:val="right"/>
              <w:rPr>
                <w:rFonts w:hint="eastAsia" w:eastAsia="黑体"/>
                <w:lang w:val="en-US" w:eastAsia="zh-CN"/>
              </w:rPr>
            </w:pPr>
            <w:r>
              <w:rPr>
                <w:rFonts w:hint="eastAsia"/>
                <w:lang w:val="en-US" w:eastAsia="zh-CN"/>
              </w:rPr>
              <w:t>-</w:t>
            </w:r>
          </w:p>
        </w:tc>
      </w:tr>
    </w:tbl>
    <w:p>
      <w:pPr>
        <w:spacing w:line="20" w:lineRule="exact"/>
        <w:ind w:firstLine="200" w:firstLineChars="200"/>
        <w:rPr>
          <w:rFonts w:ascii="仿宋_GB2312" w:hAnsi="宋体"/>
          <w:kern w:val="0"/>
          <w:sz w:val="10"/>
          <w:szCs w:val="10"/>
        </w:rPr>
      </w:pPr>
      <w:r>
        <w:rPr>
          <w:rFonts w:ascii="仿宋_GB2312" w:hAnsi="宋体"/>
          <w:kern w:val="0"/>
          <w:sz w:val="10"/>
          <w:szCs w:val="10"/>
        </w:rPr>
        <w:t xml:space="preserve"> </w:t>
      </w:r>
    </w:p>
    <w:p>
      <w:pPr>
        <w:spacing w:line="20" w:lineRule="exact"/>
        <w:ind w:firstLine="200" w:firstLineChars="200"/>
        <w:rPr>
          <w:rFonts w:ascii="仿宋_GB2312" w:hAnsi="宋体"/>
          <w:kern w:val="0"/>
          <w:sz w:val="10"/>
          <w:szCs w:val="10"/>
        </w:rPr>
      </w:pPr>
      <w:r>
        <w:rPr>
          <w:rFonts w:ascii="仿宋_GB2312" w:hAnsi="宋体"/>
          <w:kern w:val="0"/>
          <w:sz w:val="10"/>
          <w:szCs w:val="10"/>
        </w:rPr>
        <w:t xml:space="preserve"> </w:t>
      </w:r>
    </w:p>
    <w:p>
      <w:pPr>
        <w:spacing w:line="20" w:lineRule="exact"/>
        <w:ind w:firstLine="200" w:firstLineChars="200"/>
        <w:rPr>
          <w:rFonts w:ascii="仿宋_GB2312" w:hAnsi="宋体"/>
          <w:kern w:val="0"/>
          <w:sz w:val="10"/>
          <w:szCs w:val="10"/>
        </w:rPr>
      </w:pPr>
      <w:r>
        <w:rPr>
          <w:rFonts w:ascii="仿宋_GB2312" w:hAnsi="宋体"/>
          <w:kern w:val="0"/>
          <w:sz w:val="10"/>
          <w:szCs w:val="10"/>
        </w:rPr>
        <w:t xml:space="preserve"> </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09"/>
        <w:gridCol w:w="2657"/>
        <w:gridCol w:w="19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hint="eastAsia" w:ascii="宋体" w:hAnsi="宋体" w:eastAsia="宋体"/>
                <w:b/>
                <w:bCs/>
                <w:kern w:val="0"/>
                <w:sz w:val="24"/>
                <w:szCs w:val="24"/>
              </w:rPr>
            </w:pP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在住宿和餐饮业企业法人单位中，内资企业占</w:t>
            </w:r>
            <w:r>
              <w:rPr>
                <w:rFonts w:hint="eastAsia" w:ascii="仿宋_GB2312" w:hAnsi="宋体" w:eastAsia="仿宋_GB2312" w:cs="宋体"/>
                <w:kern w:val="0"/>
                <w:sz w:val="32"/>
                <w:szCs w:val="32"/>
                <w:lang w:val="en-US" w:eastAsia="zh-CN"/>
              </w:rPr>
              <w:t>96.67</w:t>
            </w:r>
            <w:r>
              <w:rPr>
                <w:rFonts w:hint="eastAsia" w:ascii="仿宋_GB2312" w:hAnsi="宋体" w:eastAsia="仿宋_GB2312" w:cs="宋体"/>
                <w:kern w:val="0"/>
                <w:sz w:val="32"/>
                <w:szCs w:val="32"/>
              </w:rPr>
              <w:t>%，外商投资企业占</w:t>
            </w:r>
            <w:r>
              <w:rPr>
                <w:rFonts w:hint="eastAsia" w:ascii="仿宋_GB2312" w:hAnsi="宋体" w:eastAsia="仿宋_GB2312" w:cs="宋体"/>
                <w:kern w:val="0"/>
                <w:sz w:val="32"/>
                <w:szCs w:val="32"/>
                <w:lang w:val="en-US" w:eastAsia="zh-CN"/>
              </w:rPr>
              <w:t>3.33</w:t>
            </w:r>
            <w:r>
              <w:rPr>
                <w:rFonts w:hint="eastAsia" w:ascii="仿宋_GB2312" w:hAnsi="宋体" w:eastAsia="仿宋_GB2312" w:cs="宋体"/>
                <w:kern w:val="0"/>
                <w:sz w:val="32"/>
                <w:szCs w:val="32"/>
              </w:rPr>
              <w:t>%。</w:t>
            </w: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在住宿和餐饮业企业法人单位从业人员中，内资企业占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%（详见表4-8）。</w:t>
            </w:r>
          </w:p>
          <w:p>
            <w:pPr>
              <w:widowControl/>
              <w:spacing w:line="320" w:lineRule="atLeast"/>
              <w:ind w:right="57"/>
              <w:jc w:val="both"/>
              <w:rPr>
                <w:rFonts w:hint="eastAsia" w:ascii="宋体" w:hAnsi="宋体" w:eastAsia="宋体"/>
                <w:b/>
                <w:bCs/>
                <w:kern w:val="0"/>
                <w:sz w:val="24"/>
                <w:szCs w:val="24"/>
              </w:rPr>
            </w:pPr>
          </w:p>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4-8</w:t>
            </w:r>
            <w:r>
              <w:rPr>
                <w:rFonts w:hint="eastAsia" w:ascii="宋体" w:hAnsi="宋体" w:eastAsia="宋体"/>
                <w:b/>
                <w:bCs/>
                <w:kern w:val="0"/>
                <w:sz w:val="24"/>
                <w:szCs w:val="24"/>
              </w:rPr>
              <w:t xml:space="preserve"> 按登记注册类型分组的住宿和餐饮业企业法人单位和从业人员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16"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p>
        </w:tc>
        <w:tc>
          <w:tcPr>
            <w:tcW w:w="2657"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企业法人单位</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（个）</w:t>
            </w:r>
          </w:p>
        </w:tc>
        <w:tc>
          <w:tcPr>
            <w:tcW w:w="1933"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从业人员</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657" w:type="dxa"/>
            <w:tcBorders>
              <w:top w:val="single" w:color="auto" w:sz="4" w:space="0"/>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30</w:t>
            </w:r>
          </w:p>
        </w:tc>
        <w:tc>
          <w:tcPr>
            <w:tcW w:w="1933" w:type="dxa"/>
            <w:tcBorders>
              <w:top w:val="single" w:color="auto" w:sz="4" w:space="0"/>
              <w:left w:val="nil"/>
              <w:bottom w:val="nil"/>
              <w:right w:val="nil"/>
            </w:tcBorders>
            <w:vAlign w:val="center"/>
          </w:tcPr>
          <w:p>
            <w:pPr>
              <w:jc w:val="right"/>
              <w:rPr>
                <w:rFonts w:hint="default" w:eastAsia="黑体"/>
                <w:b/>
                <w:bCs/>
                <w:lang w:val="en-US" w:eastAsia="zh-CN"/>
              </w:rPr>
            </w:pPr>
            <w:r>
              <w:rPr>
                <w:rFonts w:hint="eastAsia"/>
                <w:b/>
                <w:bCs/>
                <w:lang w:val="en-US" w:eastAsia="zh-CN"/>
              </w:rPr>
              <w:t>335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内资企业</w:t>
            </w:r>
          </w:p>
        </w:tc>
        <w:tc>
          <w:tcPr>
            <w:tcW w:w="2657"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29</w:t>
            </w:r>
          </w:p>
        </w:tc>
        <w:tc>
          <w:tcPr>
            <w:tcW w:w="1933" w:type="dxa"/>
            <w:tcBorders>
              <w:top w:val="nil"/>
              <w:left w:val="nil"/>
              <w:bottom w:val="nil"/>
              <w:right w:val="nil"/>
            </w:tcBorders>
            <w:vAlign w:val="center"/>
          </w:tcPr>
          <w:p>
            <w:pPr>
              <w:jc w:val="right"/>
              <w:rPr>
                <w:rFonts w:hint="default" w:eastAsia="黑体"/>
                <w:b/>
                <w:bCs/>
                <w:lang w:val="en-US" w:eastAsia="zh-CN"/>
              </w:rPr>
            </w:pPr>
            <w:r>
              <w:rPr>
                <w:rFonts w:hint="eastAsia"/>
                <w:b/>
                <w:bCs/>
                <w:lang w:val="en-US" w:eastAsia="zh-CN"/>
              </w:rPr>
              <w:t>335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国有企业</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2</w:t>
            </w:r>
          </w:p>
        </w:tc>
        <w:tc>
          <w:tcPr>
            <w:tcW w:w="1933"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集体企业</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1</w:t>
            </w:r>
          </w:p>
        </w:tc>
        <w:tc>
          <w:tcPr>
            <w:tcW w:w="1933"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股份合作企业</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3"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联营企业</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3"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有限责任公司</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2</w:t>
            </w:r>
          </w:p>
        </w:tc>
        <w:tc>
          <w:tcPr>
            <w:tcW w:w="1933"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股份有限公司</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3"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私营企业</w:t>
            </w:r>
          </w:p>
        </w:tc>
        <w:tc>
          <w:tcPr>
            <w:tcW w:w="2657"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24</w:t>
            </w:r>
          </w:p>
        </w:tc>
        <w:tc>
          <w:tcPr>
            <w:tcW w:w="1933"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226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其他企业</w:t>
            </w:r>
          </w:p>
        </w:tc>
        <w:tc>
          <w:tcPr>
            <w:tcW w:w="2657" w:type="dxa"/>
            <w:tcBorders>
              <w:top w:val="nil"/>
              <w:left w:val="nil"/>
              <w:bottom w:val="nil"/>
              <w:right w:val="single" w:color="auto" w:sz="4" w:space="0"/>
            </w:tcBorders>
            <w:vAlign w:val="center"/>
          </w:tcPr>
          <w:p>
            <w:pPr>
              <w:jc w:val="right"/>
              <w:rPr>
                <w:rFonts w:hint="eastAsia" w:eastAsia="黑体"/>
                <w:lang w:val="en-US" w:eastAsia="zh-CN"/>
              </w:rPr>
            </w:pPr>
            <w:r>
              <w:rPr>
                <w:rFonts w:hint="eastAsia"/>
                <w:lang w:val="en-US" w:eastAsia="zh-CN"/>
              </w:rPr>
              <w:t>-</w:t>
            </w:r>
          </w:p>
        </w:tc>
        <w:tc>
          <w:tcPr>
            <w:tcW w:w="1933" w:type="dxa"/>
            <w:tcBorders>
              <w:top w:val="nil"/>
              <w:left w:val="nil"/>
              <w:bottom w:val="nil"/>
              <w:right w:val="nil"/>
            </w:tcBorders>
            <w:vAlign w:val="center"/>
          </w:tcPr>
          <w:p>
            <w:pPr>
              <w:jc w:val="right"/>
              <w:rPr>
                <w:rFonts w:hint="eastAsia" w:eastAsia="黑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港、澳、台商投资企业</w:t>
            </w:r>
          </w:p>
        </w:tc>
        <w:tc>
          <w:tcPr>
            <w:tcW w:w="2657" w:type="dxa"/>
            <w:tcBorders>
              <w:top w:val="nil"/>
              <w:left w:val="nil"/>
              <w:bottom w:val="nil"/>
              <w:right w:val="single" w:color="auto" w:sz="4" w:space="0"/>
            </w:tcBorders>
            <w:vAlign w:val="center"/>
          </w:tcPr>
          <w:p>
            <w:pPr>
              <w:jc w:val="right"/>
              <w:rPr>
                <w:rFonts w:hint="eastAsia" w:eastAsia="黑体"/>
                <w:b/>
                <w:bCs/>
                <w:lang w:val="en-US" w:eastAsia="zh-CN"/>
              </w:rPr>
            </w:pPr>
            <w:r>
              <w:rPr>
                <w:rFonts w:hint="eastAsia"/>
                <w:b/>
                <w:bCs/>
                <w:lang w:val="en-US" w:eastAsia="zh-CN"/>
              </w:rPr>
              <w:t>-</w:t>
            </w:r>
          </w:p>
        </w:tc>
        <w:tc>
          <w:tcPr>
            <w:tcW w:w="1933" w:type="dxa"/>
            <w:tcBorders>
              <w:top w:val="nil"/>
              <w:left w:val="nil"/>
              <w:bottom w:val="nil"/>
              <w:right w:val="nil"/>
            </w:tcBorders>
            <w:vAlign w:val="center"/>
          </w:tcPr>
          <w:p>
            <w:pPr>
              <w:jc w:val="right"/>
              <w:rPr>
                <w:rFonts w:hint="eastAsia" w:eastAsia="黑体"/>
                <w:b/>
                <w:bCs/>
                <w:lang w:val="en-US" w:eastAsia="zh-CN"/>
              </w:rPr>
            </w:pPr>
            <w:r>
              <w:rPr>
                <w:rFonts w:hint="eastAsia"/>
                <w:b/>
                <w:bCs/>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09"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外商投资企业</w:t>
            </w:r>
          </w:p>
        </w:tc>
        <w:tc>
          <w:tcPr>
            <w:tcW w:w="2657" w:type="dxa"/>
            <w:tcBorders>
              <w:top w:val="nil"/>
              <w:left w:val="nil"/>
              <w:bottom w:val="single" w:color="auto" w:sz="12" w:space="0"/>
              <w:right w:val="single" w:color="auto" w:sz="4" w:space="0"/>
            </w:tcBorders>
            <w:vAlign w:val="center"/>
          </w:tcPr>
          <w:p>
            <w:pPr>
              <w:jc w:val="right"/>
              <w:rPr>
                <w:rFonts w:hint="eastAsia" w:eastAsia="黑体"/>
                <w:b/>
                <w:bCs/>
                <w:lang w:val="en-US" w:eastAsia="zh-CN"/>
              </w:rPr>
            </w:pPr>
            <w:r>
              <w:rPr>
                <w:rFonts w:hint="eastAsia"/>
                <w:b/>
                <w:bCs/>
                <w:lang w:val="en-US" w:eastAsia="zh-CN"/>
              </w:rPr>
              <w:t>1</w:t>
            </w:r>
          </w:p>
        </w:tc>
        <w:tc>
          <w:tcPr>
            <w:tcW w:w="1933" w:type="dxa"/>
            <w:tcBorders>
              <w:top w:val="nil"/>
              <w:left w:val="nil"/>
              <w:bottom w:val="single" w:color="auto" w:sz="12" w:space="0"/>
              <w:right w:val="nil"/>
            </w:tcBorders>
            <w:vAlign w:val="center"/>
          </w:tcPr>
          <w:p>
            <w:pPr>
              <w:jc w:val="right"/>
              <w:rPr>
                <w:rFonts w:hint="eastAsia" w:eastAsia="黑体"/>
                <w:b/>
                <w:bCs/>
                <w:lang w:val="en-US" w:eastAsia="zh-CN"/>
              </w:rPr>
            </w:pPr>
            <w:r>
              <w:rPr>
                <w:rFonts w:hint="eastAsia"/>
                <w:b/>
                <w:bCs/>
                <w:lang w:val="en-US" w:eastAsia="zh-CN"/>
              </w:rPr>
              <w:t>-</w:t>
            </w:r>
          </w:p>
        </w:tc>
      </w:tr>
    </w:tbl>
    <w:p>
      <w:pPr>
        <w:widowControl/>
        <w:spacing w:line="62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（二）主要经济指标。</w:t>
      </w:r>
    </w:p>
    <w:p>
      <w:pPr>
        <w:widowControl/>
        <w:spacing w:line="6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2018年末，住宿和餐饮业企业法人单位资产总计</w:t>
      </w:r>
      <w:r>
        <w:rPr>
          <w:rFonts w:hint="eastAsia" w:ascii="仿宋_GB2312" w:hAnsi="宋体" w:eastAsia="仿宋_GB2312" w:cs="仿宋_GB2312"/>
          <w:kern w:val="0"/>
          <w:sz w:val="32"/>
          <w:szCs w:val="32"/>
          <w:lang w:val="en-US" w:eastAsia="zh-CN"/>
        </w:rPr>
        <w:t>11994.31万</w:t>
      </w:r>
      <w:r>
        <w:rPr>
          <w:rFonts w:hint="eastAsia" w:ascii="仿宋_GB2312" w:hAnsi="宋体" w:eastAsia="仿宋_GB2312" w:cs="仿宋_GB2312"/>
          <w:kern w:val="0"/>
          <w:sz w:val="32"/>
          <w:szCs w:val="32"/>
        </w:rPr>
        <w:t>元，比2013年末</w:t>
      </w:r>
      <w:r>
        <w:rPr>
          <w:rFonts w:hint="eastAsia" w:ascii="仿宋_GB2312" w:hAnsi="宋体" w:eastAsia="仿宋_GB2312" w:cs="仿宋_GB2312"/>
          <w:kern w:val="0"/>
          <w:sz w:val="32"/>
          <w:szCs w:val="32"/>
          <w:lang w:val="en-US" w:eastAsia="zh-CN"/>
        </w:rPr>
        <w:t>下降26.32</w:t>
      </w:r>
      <w:r>
        <w:rPr>
          <w:rFonts w:hint="eastAsia" w:ascii="仿宋_GB2312" w:hAnsi="宋体" w:eastAsia="仿宋_GB2312" w:cs="仿宋_GB2312"/>
          <w:kern w:val="0"/>
          <w:sz w:val="32"/>
          <w:szCs w:val="32"/>
        </w:rPr>
        <w:t>%。其中，住宿业企业法人单位资产总计</w:t>
      </w:r>
      <w:r>
        <w:rPr>
          <w:rFonts w:hint="eastAsia" w:ascii="仿宋_GB2312" w:hAnsi="宋体" w:eastAsia="仿宋_GB2312" w:cs="仿宋_GB2312"/>
          <w:kern w:val="0"/>
          <w:sz w:val="32"/>
          <w:szCs w:val="32"/>
          <w:lang w:val="en-US" w:eastAsia="zh-CN"/>
        </w:rPr>
        <w:t>10959.08万</w:t>
      </w:r>
      <w:r>
        <w:rPr>
          <w:rFonts w:hint="eastAsia" w:ascii="仿宋_GB2312" w:hAnsi="宋体" w:eastAsia="仿宋_GB2312" w:cs="仿宋_GB2312"/>
          <w:kern w:val="0"/>
          <w:sz w:val="32"/>
          <w:szCs w:val="32"/>
        </w:rPr>
        <w:t>元，餐饮业企业法人单位资产总计</w:t>
      </w:r>
      <w:r>
        <w:rPr>
          <w:rFonts w:hint="eastAsia" w:ascii="仿宋_GB2312" w:hAnsi="宋体" w:eastAsia="仿宋_GB2312" w:cs="仿宋_GB2312"/>
          <w:kern w:val="0"/>
          <w:sz w:val="32"/>
          <w:szCs w:val="32"/>
          <w:lang w:val="en-US" w:eastAsia="zh-CN"/>
        </w:rPr>
        <w:t>1035.23万</w:t>
      </w:r>
      <w:r>
        <w:rPr>
          <w:rFonts w:hint="eastAsia" w:ascii="仿宋_GB2312" w:hAnsi="宋体" w:eastAsia="仿宋_GB2312" w:cs="仿宋_GB2312"/>
          <w:kern w:val="0"/>
          <w:sz w:val="32"/>
          <w:szCs w:val="32"/>
        </w:rPr>
        <w:t>元，分别比2013年末</w:t>
      </w:r>
      <w:r>
        <w:rPr>
          <w:rFonts w:hint="eastAsia" w:ascii="仿宋_GB2312" w:hAnsi="宋体" w:eastAsia="仿宋_GB2312" w:cs="仿宋_GB2312"/>
          <w:kern w:val="0"/>
          <w:sz w:val="32"/>
          <w:szCs w:val="32"/>
          <w:lang w:val="en-US" w:eastAsia="zh-CN"/>
        </w:rPr>
        <w:t>下降25.58</w:t>
      </w:r>
      <w:r>
        <w:rPr>
          <w:rFonts w:hint="eastAsia" w:ascii="仿宋_GB2312" w:hAnsi="宋体" w:eastAsia="仿宋_GB2312" w:cs="仿宋_GB2312"/>
          <w:kern w:val="0"/>
          <w:sz w:val="32"/>
          <w:szCs w:val="32"/>
        </w:rPr>
        <w:t>%和</w:t>
      </w:r>
      <w:r>
        <w:rPr>
          <w:rFonts w:hint="eastAsia" w:ascii="仿宋_GB2312" w:hAnsi="宋体" w:eastAsia="仿宋_GB2312" w:cs="仿宋_GB2312"/>
          <w:kern w:val="0"/>
          <w:sz w:val="32"/>
          <w:szCs w:val="32"/>
          <w:lang w:val="en-US" w:eastAsia="zh-CN"/>
        </w:rPr>
        <w:t>33.32</w:t>
      </w:r>
      <w:r>
        <w:rPr>
          <w:rFonts w:hint="eastAsia" w:ascii="仿宋_GB2312" w:hAnsi="宋体" w:eastAsia="仿宋_GB2312" w:cs="仿宋_GB2312"/>
          <w:kern w:val="0"/>
          <w:sz w:val="32"/>
          <w:szCs w:val="32"/>
        </w:rPr>
        <w:t>%。负债合计</w:t>
      </w:r>
      <w:r>
        <w:rPr>
          <w:rFonts w:hint="eastAsia" w:ascii="仿宋_GB2312" w:hAnsi="宋体" w:eastAsia="仿宋_GB2312" w:cs="仿宋_GB2312"/>
          <w:kern w:val="0"/>
          <w:sz w:val="32"/>
          <w:szCs w:val="32"/>
          <w:lang w:val="en-US" w:eastAsia="zh-CN"/>
        </w:rPr>
        <w:t>5108.24万</w:t>
      </w:r>
      <w:r>
        <w:rPr>
          <w:rFonts w:hint="eastAsia" w:ascii="仿宋_GB2312" w:hAnsi="宋体" w:eastAsia="仿宋_GB2312" w:cs="仿宋_GB2312"/>
          <w:kern w:val="0"/>
          <w:sz w:val="32"/>
          <w:szCs w:val="32"/>
        </w:rPr>
        <w:t>元。全年实现年营业收入</w:t>
      </w:r>
      <w:r>
        <w:rPr>
          <w:rFonts w:hint="eastAsia" w:ascii="仿宋_GB2312" w:hAnsi="宋体" w:eastAsia="仿宋_GB2312" w:cs="仿宋_GB2312"/>
          <w:kern w:val="0"/>
          <w:sz w:val="32"/>
          <w:szCs w:val="32"/>
          <w:lang w:val="en-US" w:eastAsia="zh-CN"/>
        </w:rPr>
        <w:t>2733.04万</w:t>
      </w:r>
      <w:r>
        <w:rPr>
          <w:rFonts w:hint="eastAsia" w:ascii="仿宋_GB2312" w:hAnsi="宋体" w:eastAsia="仿宋_GB2312" w:cs="仿宋_GB2312"/>
          <w:kern w:val="0"/>
          <w:sz w:val="32"/>
          <w:szCs w:val="32"/>
        </w:rPr>
        <w:t>元（详见表4-9）。</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b/>
                <w:bCs/>
                <w:kern w:val="0"/>
                <w:sz w:val="24"/>
                <w:szCs w:val="24"/>
              </w:rPr>
            </w:pPr>
            <w:r>
              <w:rPr>
                <w:rFonts w:hint="eastAsia" w:ascii="宋体" w:hAnsi="宋体" w:eastAsia="宋体"/>
                <w:b/>
                <w:bCs/>
                <w:kern w:val="0"/>
                <w:sz w:val="24"/>
                <w:szCs w:val="24"/>
              </w:rPr>
              <w:t>表</w:t>
            </w:r>
            <w:r>
              <w:rPr>
                <w:rFonts w:hint="eastAsia"/>
                <w:b/>
                <w:bCs/>
                <w:kern w:val="0"/>
                <w:sz w:val="24"/>
                <w:szCs w:val="24"/>
              </w:rPr>
              <w:t>4-9</w:t>
            </w:r>
            <w:r>
              <w:rPr>
                <w:rFonts w:hint="eastAsia" w:ascii="宋体" w:hAnsi="宋体" w:eastAsia="宋体"/>
                <w:b/>
                <w:bCs/>
                <w:kern w:val="0"/>
                <w:sz w:val="24"/>
                <w:szCs w:val="24"/>
              </w:rPr>
              <w:t xml:space="preserve"> 按行业中类分组的住宿和餐饮业企业法人单位主要经济指标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c>
          <w:tcPr>
            <w:tcW w:w="1540"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val="en-US"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1540" w:type="dxa"/>
            <w:tcBorders>
              <w:top w:val="single" w:color="auto" w:sz="4" w:space="0"/>
              <w:left w:val="nil"/>
              <w:bottom w:val="nil"/>
              <w:right w:val="single" w:color="auto" w:sz="4" w:space="0"/>
            </w:tcBorders>
            <w:vAlign w:val="center"/>
          </w:tcPr>
          <w:p>
            <w:pPr>
              <w:jc w:val="center"/>
              <w:rPr>
                <w:rFonts w:hint="default" w:eastAsia="黑体"/>
                <w:b/>
                <w:bCs/>
                <w:lang w:val="en-US" w:eastAsia="zh-CN"/>
              </w:rPr>
            </w:pPr>
            <w:r>
              <w:rPr>
                <w:rFonts w:hint="eastAsia"/>
                <w:b/>
                <w:bCs/>
                <w:lang w:val="en-US" w:eastAsia="zh-CN"/>
              </w:rPr>
              <w:t xml:space="preserve">      11994.31</w:t>
            </w:r>
          </w:p>
        </w:tc>
        <w:tc>
          <w:tcPr>
            <w:tcW w:w="1540" w:type="dxa"/>
            <w:tcBorders>
              <w:top w:val="single" w:color="auto" w:sz="4" w:space="0"/>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5108.24</w:t>
            </w:r>
          </w:p>
        </w:tc>
        <w:tc>
          <w:tcPr>
            <w:tcW w:w="1540" w:type="dxa"/>
            <w:tcBorders>
              <w:top w:val="single" w:color="auto" w:sz="4" w:space="0"/>
              <w:left w:val="nil"/>
              <w:bottom w:val="nil"/>
              <w:right w:val="nil"/>
            </w:tcBorders>
            <w:vAlign w:val="center"/>
          </w:tcPr>
          <w:p>
            <w:pPr>
              <w:jc w:val="right"/>
              <w:rPr>
                <w:rFonts w:hint="default" w:eastAsia="黑体"/>
                <w:b/>
                <w:bCs/>
                <w:lang w:val="en-US" w:eastAsia="zh-CN"/>
              </w:rPr>
            </w:pPr>
            <w:r>
              <w:rPr>
                <w:rFonts w:hint="eastAsia"/>
                <w:b/>
                <w:bCs/>
                <w:lang w:val="en-US" w:eastAsia="zh-CN"/>
              </w:rPr>
              <w:t>2733.04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pPr>
              <w:rPr>
                <w:b/>
                <w:bCs/>
              </w:rPr>
            </w:pPr>
            <w:r>
              <w:rPr>
                <w:rFonts w:hint="eastAsia" w:ascii="宋体" w:hAnsi="宋体" w:eastAsia="宋体"/>
                <w:b/>
                <w:bCs/>
                <w:kern w:val="0"/>
              </w:rPr>
              <w:t>住宿业</w:t>
            </w:r>
          </w:p>
        </w:tc>
        <w:tc>
          <w:tcPr>
            <w:tcW w:w="1540"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10959.08</w:t>
            </w:r>
          </w:p>
        </w:tc>
        <w:tc>
          <w:tcPr>
            <w:tcW w:w="1540"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4815.64</w:t>
            </w:r>
          </w:p>
        </w:tc>
        <w:tc>
          <w:tcPr>
            <w:tcW w:w="1540" w:type="dxa"/>
            <w:tcBorders>
              <w:top w:val="nil"/>
              <w:left w:val="nil"/>
              <w:bottom w:val="nil"/>
              <w:right w:val="nil"/>
            </w:tcBorders>
            <w:vAlign w:val="center"/>
          </w:tcPr>
          <w:p>
            <w:pPr>
              <w:jc w:val="right"/>
              <w:rPr>
                <w:rFonts w:hint="default" w:eastAsia="黑体"/>
                <w:b/>
                <w:bCs/>
                <w:lang w:val="en-US" w:eastAsia="zh-CN"/>
              </w:rPr>
            </w:pPr>
            <w:r>
              <w:rPr>
                <w:rFonts w:hint="eastAsia"/>
                <w:b/>
                <w:bCs/>
                <w:lang w:val="en-US" w:eastAsia="zh-CN"/>
              </w:rPr>
              <w:t>2022.22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旅游饭店</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7023.50</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1809.3</w:t>
            </w:r>
          </w:p>
        </w:tc>
        <w:tc>
          <w:tcPr>
            <w:tcW w:w="1540"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1025.5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一般旅馆</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3935.58</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3006.34</w:t>
            </w:r>
          </w:p>
        </w:tc>
        <w:tc>
          <w:tcPr>
            <w:tcW w:w="1540"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996.72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民宿服务</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露营地服务</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其他住宿业</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pPr>
              <w:rPr>
                <w:b/>
                <w:bCs/>
              </w:rPr>
            </w:pPr>
            <w:r>
              <w:rPr>
                <w:rFonts w:hint="eastAsia" w:ascii="宋体" w:hAnsi="宋体" w:eastAsia="宋体"/>
                <w:b/>
                <w:bCs/>
                <w:kern w:val="0"/>
              </w:rPr>
              <w:t>餐饮业</w:t>
            </w:r>
          </w:p>
        </w:tc>
        <w:tc>
          <w:tcPr>
            <w:tcW w:w="1540"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1035.23</w:t>
            </w:r>
          </w:p>
        </w:tc>
        <w:tc>
          <w:tcPr>
            <w:tcW w:w="1540" w:type="dxa"/>
            <w:tcBorders>
              <w:top w:val="nil"/>
              <w:left w:val="nil"/>
              <w:bottom w:val="nil"/>
              <w:right w:val="single" w:color="auto" w:sz="4" w:space="0"/>
            </w:tcBorders>
            <w:vAlign w:val="center"/>
          </w:tcPr>
          <w:p>
            <w:pPr>
              <w:jc w:val="right"/>
              <w:rPr>
                <w:rFonts w:hint="default" w:eastAsia="黑体"/>
                <w:b/>
                <w:bCs/>
                <w:lang w:val="en-US" w:eastAsia="zh-CN"/>
              </w:rPr>
            </w:pPr>
            <w:r>
              <w:rPr>
                <w:rFonts w:hint="eastAsia"/>
                <w:b/>
                <w:bCs/>
                <w:lang w:val="en-US" w:eastAsia="zh-CN"/>
              </w:rPr>
              <w:t>292.60</w:t>
            </w:r>
          </w:p>
        </w:tc>
        <w:tc>
          <w:tcPr>
            <w:tcW w:w="1540" w:type="dxa"/>
            <w:tcBorders>
              <w:top w:val="nil"/>
              <w:left w:val="nil"/>
              <w:bottom w:val="nil"/>
              <w:right w:val="nil"/>
            </w:tcBorders>
            <w:vAlign w:val="center"/>
          </w:tcPr>
          <w:p>
            <w:pPr>
              <w:jc w:val="right"/>
              <w:rPr>
                <w:rFonts w:hint="default" w:eastAsia="黑体"/>
                <w:b/>
                <w:bCs/>
                <w:lang w:val="en-US" w:eastAsia="zh-CN"/>
              </w:rPr>
            </w:pPr>
            <w:r>
              <w:rPr>
                <w:rFonts w:hint="eastAsia"/>
                <w:b/>
                <w:bCs/>
                <w:lang w:val="en-US" w:eastAsia="zh-CN"/>
              </w:rPr>
              <w:t>710.83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正餐服务</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1035.23</w:t>
            </w:r>
          </w:p>
        </w:tc>
        <w:tc>
          <w:tcPr>
            <w:tcW w:w="1540" w:type="dxa"/>
            <w:tcBorders>
              <w:top w:val="nil"/>
              <w:left w:val="nil"/>
              <w:bottom w:val="nil"/>
              <w:right w:val="single" w:color="auto" w:sz="4" w:space="0"/>
            </w:tcBorders>
            <w:vAlign w:val="center"/>
          </w:tcPr>
          <w:p>
            <w:pPr>
              <w:jc w:val="right"/>
              <w:rPr>
                <w:rFonts w:hint="default" w:eastAsia="黑体"/>
                <w:lang w:val="en-US" w:eastAsia="zh-CN"/>
              </w:rPr>
            </w:pPr>
            <w:r>
              <w:rPr>
                <w:rFonts w:hint="eastAsia"/>
                <w:lang w:val="en-US" w:eastAsia="zh-CN"/>
              </w:rPr>
              <w:t>292.60</w:t>
            </w:r>
          </w:p>
        </w:tc>
        <w:tc>
          <w:tcPr>
            <w:tcW w:w="1540" w:type="dxa"/>
            <w:tcBorders>
              <w:top w:val="nil"/>
              <w:left w:val="nil"/>
              <w:bottom w:val="nil"/>
              <w:right w:val="nil"/>
            </w:tcBorders>
            <w:vAlign w:val="center"/>
          </w:tcPr>
          <w:p>
            <w:pPr>
              <w:jc w:val="right"/>
              <w:rPr>
                <w:rFonts w:hint="default" w:eastAsia="黑体"/>
                <w:lang w:val="en-US" w:eastAsia="zh-CN"/>
              </w:rPr>
            </w:pPr>
            <w:r>
              <w:rPr>
                <w:rFonts w:hint="eastAsia"/>
                <w:lang w:val="en-US" w:eastAsia="zh-CN"/>
              </w:rPr>
              <w:t>710.83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快餐服务</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饮料及冷饮服务</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餐饮配送及外卖送餐服务</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nil"/>
              <w:right w:val="nil"/>
            </w:tcBorders>
            <w:vAlign w:val="center"/>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single" w:color="auto" w:sz="12" w:space="0"/>
              <w:right w:val="single" w:color="auto" w:sz="4" w:space="0"/>
            </w:tcBorders>
            <w:vAlign w:val="top"/>
          </w:tcPr>
          <w:p>
            <w:r>
              <w:rPr>
                <w:rFonts w:hint="eastAsia" w:ascii="宋体" w:hAnsi="宋体" w:eastAsia="宋体"/>
              </w:rPr>
              <w:t xml:space="preserve">   </w:t>
            </w:r>
            <w:r>
              <w:rPr>
                <w:rFonts w:hint="eastAsia" w:ascii="宋体" w:hAnsi="宋体" w:eastAsia="宋体"/>
                <w:kern w:val="0"/>
              </w:rPr>
              <w:t>其他餐饮业</w:t>
            </w:r>
          </w:p>
        </w:tc>
        <w:tc>
          <w:tcPr>
            <w:tcW w:w="1540" w:type="dxa"/>
            <w:tcBorders>
              <w:top w:val="nil"/>
              <w:left w:val="nil"/>
              <w:bottom w:val="single" w:color="auto" w:sz="12" w:space="0"/>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single" w:color="auto" w:sz="12" w:space="0"/>
              <w:right w:val="single" w:color="auto" w:sz="4" w:space="0"/>
            </w:tcBorders>
            <w:vAlign w:val="center"/>
          </w:tcPr>
          <w:p>
            <w:pPr>
              <w:jc w:val="right"/>
              <w:rPr>
                <w:rFonts w:hint="eastAsia" w:eastAsia="宋体"/>
                <w:lang w:val="en-US" w:eastAsia="zh-CN"/>
              </w:rPr>
            </w:pPr>
            <w:r>
              <w:rPr>
                <w:rFonts w:hint="eastAsia"/>
                <w:lang w:val="en-US" w:eastAsia="zh-CN"/>
              </w:rPr>
              <w:t>-</w:t>
            </w:r>
          </w:p>
        </w:tc>
        <w:tc>
          <w:tcPr>
            <w:tcW w:w="1540" w:type="dxa"/>
            <w:tcBorders>
              <w:top w:val="nil"/>
              <w:left w:val="nil"/>
              <w:bottom w:val="single" w:color="auto" w:sz="12" w:space="0"/>
              <w:right w:val="nil"/>
            </w:tcBorders>
            <w:vAlign w:val="center"/>
          </w:tcPr>
          <w:p>
            <w:pPr>
              <w:jc w:val="right"/>
              <w:rPr>
                <w:rFonts w:hint="eastAsia" w:eastAsia="宋体"/>
                <w:lang w:val="en-US" w:eastAsia="zh-CN"/>
              </w:rPr>
            </w:pPr>
            <w:r>
              <w:rPr>
                <w:rFonts w:hint="eastAsia"/>
                <w:lang w:val="en-US" w:eastAsia="zh-CN"/>
              </w:rPr>
              <w:t>-</w:t>
            </w:r>
          </w:p>
        </w:tc>
      </w:tr>
    </w:tbl>
    <w:p>
      <w:p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四、信息传输、软件和信息技术服务业</w:t>
      </w:r>
    </w:p>
    <w:p>
      <w:pPr>
        <w:widowControl/>
        <w:spacing w:line="62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（一）企业法人单位数和从业人员。</w:t>
      </w: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共有信息传输、软件和信息技术服务业企业法人单位</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个，从业人员</w:t>
      </w:r>
      <w:r>
        <w:rPr>
          <w:rFonts w:hint="eastAsia" w:ascii="仿宋_GB2312" w:hAnsi="宋体" w:eastAsia="仿宋_GB2312" w:cs="宋体"/>
          <w:kern w:val="0"/>
          <w:sz w:val="32"/>
          <w:szCs w:val="32"/>
          <w:lang w:val="en-US" w:eastAsia="zh-CN"/>
        </w:rPr>
        <w:t>130</w:t>
      </w:r>
      <w:r>
        <w:rPr>
          <w:rFonts w:hint="eastAsia" w:ascii="仿宋_GB2312" w:hAnsi="宋体" w:eastAsia="仿宋_GB2312" w:cs="宋体"/>
          <w:kern w:val="0"/>
          <w:sz w:val="32"/>
          <w:szCs w:val="32"/>
        </w:rPr>
        <w:t>人，分别比2013年末增长</w:t>
      </w:r>
      <w:r>
        <w:rPr>
          <w:rFonts w:hint="eastAsia" w:ascii="仿宋_GB2312" w:hAnsi="宋体" w:eastAsia="仿宋_GB2312" w:cs="宋体"/>
          <w:kern w:val="0"/>
          <w:sz w:val="32"/>
          <w:szCs w:val="32"/>
          <w:lang w:val="en-US" w:eastAsia="zh-CN"/>
        </w:rPr>
        <w:t>700</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41.30</w:t>
      </w:r>
      <w:r>
        <w:rPr>
          <w:rFonts w:hint="eastAsia" w:ascii="仿宋_GB2312" w:hAnsi="宋体" w:eastAsia="仿宋_GB2312" w:cs="宋体"/>
          <w:kern w:val="0"/>
          <w:sz w:val="32"/>
          <w:szCs w:val="32"/>
        </w:rPr>
        <w:t>%（详见表4-10）。</w:t>
      </w:r>
    </w:p>
    <w:tbl>
      <w:tblPr>
        <w:tblStyle w:val="3"/>
        <w:tblW w:w="83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13"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b/>
                <w:bCs/>
                <w:kern w:val="0"/>
                <w:sz w:val="24"/>
                <w:szCs w:val="24"/>
              </w:rPr>
            </w:pPr>
            <w:r>
              <w:rPr>
                <w:rFonts w:hint="eastAsia" w:ascii="宋体" w:hAnsi="宋体" w:eastAsia="宋体"/>
                <w:b/>
                <w:bCs/>
                <w:kern w:val="0"/>
                <w:sz w:val="24"/>
                <w:szCs w:val="24"/>
              </w:rPr>
              <w:t>表</w:t>
            </w:r>
            <w:r>
              <w:rPr>
                <w:rFonts w:hint="eastAsia"/>
                <w:b/>
                <w:bCs/>
                <w:kern w:val="0"/>
                <w:sz w:val="24"/>
                <w:szCs w:val="24"/>
              </w:rPr>
              <w:t>4-10</w:t>
            </w:r>
            <w:r>
              <w:rPr>
                <w:rFonts w:hint="eastAsia" w:ascii="宋体" w:hAnsi="宋体" w:eastAsia="宋体"/>
                <w:b/>
                <w:bCs/>
                <w:kern w:val="0"/>
                <w:sz w:val="24"/>
                <w:szCs w:val="24"/>
              </w:rPr>
              <w:t xml:space="preserve"> 按行业大类分组的信息传输、软件和信息技术服务业</w:t>
            </w:r>
          </w:p>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20"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　</w:t>
            </w:r>
          </w:p>
        </w:tc>
        <w:tc>
          <w:tcPr>
            <w:tcW w:w="2661"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（个）</w:t>
            </w:r>
          </w:p>
        </w:tc>
        <w:tc>
          <w:tcPr>
            <w:tcW w:w="1932"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661" w:type="dxa"/>
            <w:tcBorders>
              <w:top w:val="single" w:color="auto" w:sz="4" w:space="0"/>
              <w:left w:val="nil"/>
              <w:bottom w:val="nil"/>
              <w:right w:val="single" w:color="auto" w:sz="4" w:space="0"/>
            </w:tcBorders>
            <w:vAlign w:val="center"/>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40</w:t>
            </w:r>
          </w:p>
        </w:tc>
        <w:tc>
          <w:tcPr>
            <w:tcW w:w="1932" w:type="dxa"/>
            <w:tcBorders>
              <w:top w:val="single" w:color="auto" w:sz="4" w:space="0"/>
              <w:left w:val="nil"/>
              <w:bottom w:val="nil"/>
              <w:right w:val="nil"/>
            </w:tcBorders>
            <w:vAlign w:val="center"/>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r>
              <w:rPr>
                <w:rFonts w:hint="eastAsia" w:ascii="宋体" w:hAnsi="宋体" w:eastAsia="宋体"/>
                <w:kern w:val="0"/>
              </w:rPr>
              <w:t xml:space="preserve"> 电信、广播电视和卫星传输服务</w:t>
            </w:r>
          </w:p>
        </w:tc>
        <w:tc>
          <w:tcPr>
            <w:tcW w:w="2661" w:type="dxa"/>
            <w:tcBorders>
              <w:top w:val="nil"/>
              <w:left w:val="nil"/>
              <w:bottom w:val="nil"/>
              <w:right w:val="single" w:color="auto" w:sz="4" w:space="0"/>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w:t>
            </w:r>
          </w:p>
        </w:tc>
        <w:tc>
          <w:tcPr>
            <w:tcW w:w="1932" w:type="dxa"/>
            <w:tcBorders>
              <w:top w:val="nil"/>
              <w:left w:val="nil"/>
              <w:bottom w:val="nil"/>
              <w:right w:val="nil"/>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nil"/>
              <w:right w:val="single" w:color="auto" w:sz="4" w:space="0"/>
            </w:tcBorders>
            <w:vAlign w:val="center"/>
          </w:tcPr>
          <w:p>
            <w:r>
              <w:rPr>
                <w:rFonts w:hint="eastAsia" w:ascii="宋体" w:hAnsi="宋体" w:eastAsia="宋体"/>
                <w:kern w:val="0"/>
              </w:rPr>
              <w:t xml:space="preserve"> 互联网和相关服务</w:t>
            </w:r>
          </w:p>
        </w:tc>
        <w:tc>
          <w:tcPr>
            <w:tcW w:w="2661" w:type="dxa"/>
            <w:tcBorders>
              <w:top w:val="nil"/>
              <w:left w:val="nil"/>
              <w:bottom w:val="nil"/>
              <w:right w:val="single" w:color="auto" w:sz="4" w:space="0"/>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14</w:t>
            </w:r>
          </w:p>
        </w:tc>
        <w:tc>
          <w:tcPr>
            <w:tcW w:w="1932" w:type="dxa"/>
            <w:tcBorders>
              <w:top w:val="nil"/>
              <w:left w:val="nil"/>
              <w:bottom w:val="nil"/>
              <w:right w:val="nil"/>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3" w:type="dxa"/>
            <w:tcBorders>
              <w:top w:val="nil"/>
              <w:left w:val="nil"/>
              <w:bottom w:val="single" w:color="auto" w:sz="12" w:space="0"/>
              <w:right w:val="single" w:color="auto" w:sz="4" w:space="0"/>
            </w:tcBorders>
            <w:vAlign w:val="center"/>
          </w:tcPr>
          <w:p>
            <w:pPr>
              <w:widowControl/>
              <w:spacing w:line="240" w:lineRule="atLeast"/>
              <w:ind w:right="57" w:firstLine="210" w:firstLineChars="100"/>
              <w:rPr>
                <w:rFonts w:ascii="宋体" w:hAnsi="宋体" w:eastAsia="宋体"/>
                <w:kern w:val="0"/>
                <w:sz w:val="18"/>
                <w:szCs w:val="18"/>
              </w:rPr>
            </w:pPr>
            <w:r>
              <w:rPr>
                <w:rFonts w:hint="eastAsia" w:ascii="宋体" w:hAnsi="宋体" w:eastAsia="宋体"/>
                <w:kern w:val="0"/>
              </w:rPr>
              <w:t>软件和信息技术服务业</w:t>
            </w:r>
          </w:p>
        </w:tc>
        <w:tc>
          <w:tcPr>
            <w:tcW w:w="2661" w:type="dxa"/>
            <w:tcBorders>
              <w:top w:val="nil"/>
              <w:left w:val="nil"/>
              <w:bottom w:val="single" w:color="auto" w:sz="12" w:space="0"/>
              <w:right w:val="single" w:color="auto" w:sz="4" w:space="0"/>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w:t>
            </w:r>
          </w:p>
        </w:tc>
        <w:tc>
          <w:tcPr>
            <w:tcW w:w="1932" w:type="dxa"/>
            <w:tcBorders>
              <w:top w:val="nil"/>
              <w:left w:val="nil"/>
              <w:bottom w:val="single" w:color="auto" w:sz="12" w:space="0"/>
              <w:right w:val="nil"/>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21</w:t>
            </w:r>
          </w:p>
        </w:tc>
      </w:tr>
    </w:tbl>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在信息传输、软件和信息技术服务业企业法人单位中，内资企业占</w:t>
      </w:r>
      <w:r>
        <w:rPr>
          <w:rFonts w:hint="eastAsia" w:ascii="仿宋_GB2312" w:hAnsi="宋体" w:eastAsia="仿宋_GB2312" w:cs="宋体"/>
          <w:kern w:val="0"/>
          <w:sz w:val="32"/>
          <w:szCs w:val="32"/>
          <w:lang w:val="en-US" w:eastAsia="zh-CN"/>
        </w:rPr>
        <w:t>97.5</w:t>
      </w:r>
      <w:r>
        <w:rPr>
          <w:rFonts w:hint="eastAsia" w:ascii="仿宋_GB2312" w:hAnsi="宋体" w:eastAsia="仿宋_GB2312" w:cs="宋体"/>
          <w:kern w:val="0"/>
          <w:sz w:val="32"/>
          <w:szCs w:val="32"/>
        </w:rPr>
        <w:t>%，外商投资企业占</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w:t>
      </w:r>
    </w:p>
    <w:p>
      <w:pPr>
        <w:widowControl/>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在信息传输、软件和信息技术服务业企业法人单位从业人员中，内资企业占</w:t>
      </w:r>
      <w:r>
        <w:rPr>
          <w:rFonts w:hint="eastAsia" w:ascii="仿宋_GB2312" w:hAnsi="宋体" w:eastAsia="仿宋_GB2312" w:cs="宋体"/>
          <w:kern w:val="0"/>
          <w:sz w:val="32"/>
          <w:szCs w:val="32"/>
          <w:lang w:val="en-US" w:eastAsia="zh-CN"/>
        </w:rPr>
        <w:t>97.69</w:t>
      </w:r>
      <w:r>
        <w:rPr>
          <w:rFonts w:hint="eastAsia" w:ascii="仿宋_GB2312" w:hAnsi="宋体" w:eastAsia="仿宋_GB2312" w:cs="宋体"/>
          <w:kern w:val="0"/>
          <w:sz w:val="32"/>
          <w:szCs w:val="32"/>
        </w:rPr>
        <w:t>%，外商投资企业占</w:t>
      </w:r>
      <w:r>
        <w:rPr>
          <w:rFonts w:hint="eastAsia" w:ascii="仿宋_GB2312" w:hAnsi="宋体" w:eastAsia="仿宋_GB2312" w:cs="宋体"/>
          <w:kern w:val="0"/>
          <w:sz w:val="32"/>
          <w:szCs w:val="32"/>
          <w:lang w:val="en-US" w:eastAsia="zh-CN"/>
        </w:rPr>
        <w:t>2.31</w:t>
      </w:r>
      <w:r>
        <w:rPr>
          <w:rFonts w:hint="eastAsia" w:ascii="仿宋_GB2312" w:hAnsi="宋体" w:eastAsia="仿宋_GB2312" w:cs="宋体"/>
          <w:kern w:val="0"/>
          <w:sz w:val="32"/>
          <w:szCs w:val="32"/>
        </w:rPr>
        <w:t>%（详见表4-11）。</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710"/>
        <w:gridCol w:w="2657"/>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b/>
                <w:bCs/>
                <w:kern w:val="0"/>
                <w:sz w:val="24"/>
                <w:szCs w:val="24"/>
              </w:rPr>
            </w:pPr>
            <w:r>
              <w:rPr>
                <w:rFonts w:hint="eastAsia" w:ascii="宋体" w:hAnsi="宋体" w:eastAsia="宋体"/>
                <w:b/>
                <w:bCs/>
                <w:kern w:val="0"/>
                <w:sz w:val="24"/>
                <w:szCs w:val="24"/>
              </w:rPr>
              <w:t>表</w:t>
            </w:r>
            <w:r>
              <w:rPr>
                <w:rFonts w:hint="eastAsia"/>
                <w:b/>
                <w:bCs/>
                <w:kern w:val="0"/>
                <w:sz w:val="24"/>
                <w:szCs w:val="24"/>
              </w:rPr>
              <w:t>4-11</w:t>
            </w:r>
            <w:r>
              <w:rPr>
                <w:rFonts w:hint="eastAsia" w:ascii="宋体" w:hAnsi="宋体" w:eastAsia="宋体"/>
                <w:b/>
                <w:bCs/>
                <w:kern w:val="0"/>
                <w:sz w:val="24"/>
                <w:szCs w:val="24"/>
              </w:rPr>
              <w:t xml:space="preserve"> 按登记注册类型分组的信息传输、软件和信息技术服务业</w:t>
            </w:r>
          </w:p>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17" w:type="dxa"/>
            <w:gridSpan w:val="2"/>
            <w:tcBorders>
              <w:top w:val="nil"/>
              <w:left w:val="nil"/>
              <w:bottom w:val="single" w:color="auto" w:sz="4" w:space="0"/>
              <w:right w:val="single" w:color="auto" w:sz="4" w:space="0"/>
            </w:tcBorders>
            <w:vAlign w:val="center"/>
          </w:tcPr>
          <w:p>
            <w:pPr>
              <w:widowControl/>
              <w:jc w:val="left"/>
              <w:rPr>
                <w:rFonts w:ascii="宋体" w:hAnsi="宋体" w:eastAsia="宋体"/>
                <w:b/>
                <w:bCs/>
                <w:kern w:val="0"/>
                <w:sz w:val="24"/>
                <w:szCs w:val="24"/>
              </w:rPr>
            </w:pPr>
          </w:p>
        </w:tc>
        <w:tc>
          <w:tcPr>
            <w:tcW w:w="2657"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企业法人单位</w:t>
            </w:r>
          </w:p>
          <w:p>
            <w:pPr>
              <w:widowControl/>
              <w:spacing w:line="240" w:lineRule="atLeast"/>
              <w:ind w:left="57" w:right="57"/>
              <w:jc w:val="center"/>
              <w:rPr>
                <w:rFonts w:ascii="宋体" w:hAnsi="宋体" w:eastAsia="宋体"/>
                <w:b/>
                <w:bCs/>
                <w:kern w:val="0"/>
                <w:sz w:val="18"/>
                <w:szCs w:val="18"/>
              </w:rPr>
            </w:pPr>
            <w:r>
              <w:rPr>
                <w:rFonts w:hint="eastAsia"/>
                <w:b/>
                <w:bCs/>
                <w:kern w:val="0"/>
              </w:rPr>
              <w:t>(</w:t>
            </w:r>
            <w:r>
              <w:rPr>
                <w:rFonts w:hint="eastAsia" w:ascii="宋体" w:hAnsi="宋体" w:eastAsia="宋体"/>
                <w:b/>
                <w:bCs/>
                <w:kern w:val="0"/>
              </w:rPr>
              <w:t>个</w:t>
            </w:r>
            <w:r>
              <w:rPr>
                <w:rFonts w:hint="eastAsia"/>
                <w:b/>
                <w:bCs/>
                <w:kern w:val="0"/>
              </w:rPr>
              <w:t>)</w:t>
            </w:r>
          </w:p>
        </w:tc>
        <w:tc>
          <w:tcPr>
            <w:tcW w:w="1932"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从业人员</w:t>
            </w:r>
          </w:p>
          <w:p>
            <w:pPr>
              <w:widowControl/>
              <w:spacing w:line="240" w:lineRule="atLeast"/>
              <w:ind w:left="57" w:right="57"/>
              <w:jc w:val="center"/>
              <w:rPr>
                <w:rFonts w:ascii="宋体" w:hAnsi="宋体" w:eastAsia="宋体"/>
                <w:b/>
                <w:bCs/>
                <w:kern w:val="0"/>
                <w:sz w:val="18"/>
                <w:szCs w:val="18"/>
              </w:rPr>
            </w:pPr>
            <w:r>
              <w:rPr>
                <w:rFonts w:hint="eastAsia"/>
                <w:b/>
                <w:bCs/>
                <w:kern w:val="0"/>
              </w:rPr>
              <w:t>(</w:t>
            </w:r>
            <w:r>
              <w:rPr>
                <w:rFonts w:hint="eastAsia" w:ascii="宋体" w:hAnsi="宋体" w:eastAsia="宋体"/>
                <w:b/>
                <w:bCs/>
                <w:kern w:val="0"/>
              </w:rPr>
              <w:t>人</w:t>
            </w:r>
            <w:r>
              <w:rPr>
                <w:rFonts w:hint="eastAsia"/>
                <w:b/>
                <w:bCs/>
                <w:kern w:val="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657" w:type="dxa"/>
            <w:tcBorders>
              <w:top w:val="single" w:color="auto" w:sz="4" w:space="0"/>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40</w:t>
            </w:r>
          </w:p>
        </w:tc>
        <w:tc>
          <w:tcPr>
            <w:tcW w:w="1932" w:type="dxa"/>
            <w:tcBorders>
              <w:top w:val="single" w:color="auto" w:sz="4" w:space="0"/>
              <w:left w:val="nil"/>
              <w:bottom w:val="nil"/>
              <w:right w:val="nil"/>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内资企业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39</w:t>
            </w:r>
          </w:p>
        </w:tc>
        <w:tc>
          <w:tcPr>
            <w:tcW w:w="1932" w:type="dxa"/>
            <w:tcBorders>
              <w:top w:val="nil"/>
              <w:left w:val="nil"/>
              <w:bottom w:val="nil"/>
              <w:right w:val="nil"/>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国有企业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集体企业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股份合作企业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联营企业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有限责任公司</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2</w:t>
            </w:r>
          </w:p>
        </w:tc>
        <w:tc>
          <w:tcPr>
            <w:tcW w:w="1932" w:type="dxa"/>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股份有限公司</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私营企业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37</w:t>
            </w:r>
          </w:p>
        </w:tc>
        <w:tc>
          <w:tcPr>
            <w:tcW w:w="1932" w:type="dxa"/>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港、澳、台商投资企业</w:t>
            </w:r>
          </w:p>
        </w:tc>
        <w:tc>
          <w:tcPr>
            <w:tcW w:w="2657"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b/>
                <w:bCs/>
                <w:kern w:val="0"/>
                <w:sz w:val="18"/>
                <w:szCs w:val="18"/>
                <w:lang w:val="en-US" w:eastAsia="zh-CN"/>
              </w:rPr>
              <w:t>-</w:t>
            </w:r>
          </w:p>
        </w:tc>
        <w:tc>
          <w:tcPr>
            <w:tcW w:w="1932" w:type="dxa"/>
            <w:tcBorders>
              <w:top w:val="nil"/>
              <w:left w:val="nil"/>
              <w:bottom w:val="nil"/>
              <w:right w:val="nil"/>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b/>
                <w:bCs/>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710"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外商投资企业</w:t>
            </w:r>
          </w:p>
        </w:tc>
        <w:tc>
          <w:tcPr>
            <w:tcW w:w="2657" w:type="dxa"/>
            <w:tcBorders>
              <w:top w:val="nil"/>
              <w:left w:val="nil"/>
              <w:bottom w:val="single" w:color="auto" w:sz="12" w:space="0"/>
              <w:right w:val="single" w:color="auto" w:sz="4" w:space="0"/>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eastAsia="宋体"/>
                <w:b/>
                <w:bCs/>
                <w:kern w:val="0"/>
                <w:sz w:val="18"/>
                <w:szCs w:val="18"/>
                <w:lang w:val="en-US" w:eastAsia="zh-CN"/>
              </w:rPr>
              <w:t>1</w:t>
            </w:r>
          </w:p>
        </w:tc>
        <w:tc>
          <w:tcPr>
            <w:tcW w:w="1932" w:type="dxa"/>
            <w:tcBorders>
              <w:top w:val="nil"/>
              <w:left w:val="nil"/>
              <w:bottom w:val="single" w:color="auto" w:sz="12" w:space="0"/>
              <w:right w:val="nil"/>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eastAsia="宋体"/>
                <w:b/>
                <w:bCs/>
                <w:kern w:val="0"/>
                <w:sz w:val="18"/>
                <w:szCs w:val="18"/>
                <w:lang w:val="en-US" w:eastAsia="zh-CN"/>
              </w:rPr>
              <w:t>3</w:t>
            </w:r>
          </w:p>
        </w:tc>
      </w:tr>
    </w:tbl>
    <w:p>
      <w:pPr>
        <w:widowControl/>
        <w:spacing w:line="62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（二）主要经济指标。</w:t>
      </w:r>
    </w:p>
    <w:p>
      <w:pPr>
        <w:widowControl/>
        <w:spacing w:line="6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2018年末，信息传输、软件和信息技术服务业企业法人单位资产总计</w:t>
      </w:r>
      <w:r>
        <w:rPr>
          <w:rFonts w:hint="eastAsia" w:ascii="仿宋_GB2312" w:hAnsi="宋体" w:eastAsia="仿宋_GB2312" w:cs="宋体"/>
          <w:color w:val="000000"/>
          <w:kern w:val="0"/>
          <w:sz w:val="32"/>
          <w:szCs w:val="32"/>
          <w:lang w:val="en-US" w:eastAsia="zh-CN"/>
        </w:rPr>
        <w:t>8625.95万</w:t>
      </w:r>
      <w:r>
        <w:rPr>
          <w:rFonts w:hint="eastAsia" w:ascii="仿宋_GB2312" w:hAnsi="宋体" w:eastAsia="仿宋_GB2312" w:cs="宋体"/>
          <w:color w:val="000000"/>
          <w:kern w:val="0"/>
          <w:sz w:val="32"/>
          <w:szCs w:val="32"/>
        </w:rPr>
        <w:t>元，比2013年末增长</w:t>
      </w:r>
      <w:r>
        <w:rPr>
          <w:rFonts w:hint="eastAsia" w:ascii="仿宋_GB2312" w:hAnsi="宋体" w:eastAsia="仿宋_GB2312" w:cs="宋体"/>
          <w:color w:val="000000"/>
          <w:kern w:val="0"/>
          <w:sz w:val="32"/>
          <w:szCs w:val="32"/>
          <w:lang w:val="en-US" w:eastAsia="zh-CN"/>
        </w:rPr>
        <w:t>294.67</w:t>
      </w:r>
      <w:r>
        <w:rPr>
          <w:rFonts w:hint="eastAsia" w:ascii="仿宋_GB2312" w:hAnsi="宋体" w:eastAsia="仿宋_GB2312" w:cs="宋体"/>
          <w:color w:val="000000"/>
          <w:kern w:val="0"/>
          <w:sz w:val="32"/>
          <w:szCs w:val="32"/>
        </w:rPr>
        <w:t>%。负债合计</w:t>
      </w:r>
      <w:r>
        <w:rPr>
          <w:rFonts w:hint="eastAsia" w:ascii="仿宋_GB2312" w:hAnsi="宋体" w:eastAsia="仿宋_GB2312" w:cs="宋体"/>
          <w:color w:val="000000"/>
          <w:kern w:val="0"/>
          <w:sz w:val="32"/>
          <w:szCs w:val="32"/>
          <w:lang w:val="en-US" w:eastAsia="zh-CN"/>
        </w:rPr>
        <w:t>6694.52万</w:t>
      </w:r>
      <w:r>
        <w:rPr>
          <w:rFonts w:hint="eastAsia" w:ascii="仿宋_GB2312" w:hAnsi="宋体" w:eastAsia="仿宋_GB2312" w:cs="宋体"/>
          <w:color w:val="000000"/>
          <w:kern w:val="0"/>
          <w:sz w:val="32"/>
          <w:szCs w:val="32"/>
        </w:rPr>
        <w:t>元。全年实现营业收入</w:t>
      </w:r>
      <w:r>
        <w:rPr>
          <w:rFonts w:hint="eastAsia" w:ascii="仿宋_GB2312" w:hAnsi="宋体" w:eastAsia="仿宋_GB2312" w:cs="宋体"/>
          <w:color w:val="000000"/>
          <w:kern w:val="0"/>
          <w:sz w:val="32"/>
          <w:szCs w:val="32"/>
          <w:lang w:val="en-US" w:eastAsia="zh-CN"/>
        </w:rPr>
        <w:t>1348.95万</w:t>
      </w:r>
      <w:r>
        <w:rPr>
          <w:rFonts w:hint="eastAsia" w:ascii="仿宋_GB2312" w:hAnsi="宋体" w:eastAsia="仿宋_GB2312" w:cs="宋体"/>
          <w:color w:val="000000"/>
          <w:kern w:val="0"/>
          <w:sz w:val="32"/>
          <w:szCs w:val="32"/>
        </w:rPr>
        <w:t>元（详见表4-12）。</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exact"/>
              <w:ind w:left="964" w:right="57" w:hanging="964" w:hangingChars="400"/>
              <w:jc w:val="center"/>
              <w:rPr>
                <w:rFonts w:ascii="宋体" w:hAnsi="宋体" w:eastAsia="宋体"/>
                <w:b/>
                <w:bCs/>
                <w:kern w:val="0"/>
                <w:sz w:val="24"/>
                <w:szCs w:val="24"/>
              </w:rPr>
            </w:pPr>
            <w:r>
              <w:rPr>
                <w:rFonts w:hint="eastAsia" w:ascii="宋体" w:hAnsi="宋体" w:eastAsia="宋体"/>
                <w:b/>
                <w:bCs/>
                <w:kern w:val="0"/>
                <w:sz w:val="24"/>
                <w:szCs w:val="24"/>
              </w:rPr>
              <w:t>表4-12 按行业大类分组的信息传输、软件和信息技术服务业</w:t>
            </w:r>
          </w:p>
          <w:p>
            <w:pPr>
              <w:widowControl/>
              <w:spacing w:line="320" w:lineRule="exact"/>
              <w:ind w:left="964" w:right="57" w:hanging="964" w:hangingChars="400"/>
              <w:jc w:val="center"/>
              <w:rPr>
                <w:rFonts w:ascii="宋体" w:hAnsi="宋体" w:eastAsia="宋体"/>
                <w:b/>
                <w:bCs/>
                <w:kern w:val="0"/>
                <w:sz w:val="24"/>
                <w:szCs w:val="24"/>
              </w:rPr>
            </w:pPr>
            <w:r>
              <w:rPr>
                <w:rFonts w:hint="eastAsia" w:ascii="宋体" w:hAnsi="宋体" w:eastAsia="宋体"/>
                <w:b/>
                <w:bCs/>
                <w:kern w:val="0"/>
                <w:sz w:val="24"/>
                <w:szCs w:val="24"/>
              </w:rPr>
              <w:t>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tcBorders>
              <w:top w:val="single" w:color="auto" w:sz="12" w:space="0"/>
              <w:left w:val="nil"/>
              <w:bottom w:val="single" w:color="auto" w:sz="4" w:space="0"/>
              <w:right w:val="single" w:color="auto" w:sz="4" w:space="0"/>
            </w:tcBorders>
            <w:vAlign w:val="center"/>
          </w:tcPr>
          <w:p>
            <w:pPr>
              <w:widowControl/>
              <w:spacing w:line="320" w:lineRule="exac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1540" w:type="dxa"/>
            <w:tcBorders>
              <w:top w:val="single" w:color="auto" w:sz="12" w:space="0"/>
              <w:left w:val="nil"/>
              <w:bottom w:val="single" w:color="auto" w:sz="4" w:space="0"/>
              <w:right w:val="single" w:color="auto" w:sz="4" w:space="0"/>
            </w:tcBorders>
            <w:vAlign w:val="center"/>
          </w:tcPr>
          <w:p>
            <w:pPr>
              <w:widowControl/>
              <w:spacing w:line="320" w:lineRule="exac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320" w:lineRule="exac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b/>
                <w:bCs/>
                <w:kern w:val="0"/>
                <w:lang w:val="en-US" w:eastAsia="zh-CN"/>
              </w:rPr>
              <w:t>万</w:t>
            </w:r>
            <w:r>
              <w:rPr>
                <w:rFonts w:hint="eastAsia" w:ascii="宋体" w:hAnsi="宋体" w:eastAsia="宋体"/>
                <w:b/>
                <w:bCs/>
                <w:kern w:val="0"/>
              </w:rPr>
              <w:t>元）</w:t>
            </w:r>
          </w:p>
        </w:tc>
        <w:tc>
          <w:tcPr>
            <w:tcW w:w="1540" w:type="dxa"/>
            <w:tcBorders>
              <w:top w:val="single" w:color="auto" w:sz="12" w:space="0"/>
              <w:left w:val="nil"/>
              <w:bottom w:val="single" w:color="auto" w:sz="4" w:space="0"/>
              <w:right w:val="single" w:color="auto" w:sz="4" w:space="0"/>
            </w:tcBorders>
            <w:vAlign w:val="center"/>
          </w:tcPr>
          <w:p>
            <w:pPr>
              <w:widowControl/>
              <w:spacing w:line="320" w:lineRule="exac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320" w:lineRule="exac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b/>
                <w:bCs/>
                <w:kern w:val="0"/>
                <w:lang w:val="en-US" w:eastAsia="zh-CN"/>
              </w:rPr>
              <w:t>万</w:t>
            </w:r>
            <w:r>
              <w:rPr>
                <w:rFonts w:hint="eastAsia" w:ascii="宋体" w:hAnsi="宋体" w:eastAsia="宋体"/>
                <w:b/>
                <w:bCs/>
                <w:kern w:val="0"/>
              </w:rPr>
              <w:t>元）</w:t>
            </w:r>
          </w:p>
        </w:tc>
        <w:tc>
          <w:tcPr>
            <w:tcW w:w="1540" w:type="dxa"/>
            <w:tcBorders>
              <w:top w:val="single" w:color="auto" w:sz="12" w:space="0"/>
              <w:left w:val="nil"/>
              <w:bottom w:val="single" w:color="auto" w:sz="4" w:space="0"/>
              <w:right w:val="nil"/>
            </w:tcBorders>
            <w:vAlign w:val="center"/>
          </w:tcPr>
          <w:p>
            <w:pPr>
              <w:widowControl/>
              <w:spacing w:line="320" w:lineRule="exac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320" w:lineRule="exac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b/>
                <w:bCs/>
                <w:kern w:val="0"/>
                <w:lang w:val="en-US"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single" w:color="auto" w:sz="4" w:space="0"/>
              <w:left w:val="nil"/>
              <w:bottom w:val="nil"/>
              <w:right w:val="single" w:color="auto" w:sz="4" w:space="0"/>
            </w:tcBorders>
            <w:vAlign w:val="center"/>
          </w:tcPr>
          <w:p>
            <w:pPr>
              <w:widowControl/>
              <w:spacing w:line="320" w:lineRule="exact"/>
              <w:ind w:left="57" w:right="57"/>
              <w:jc w:val="center"/>
              <w:rPr>
                <w:rFonts w:ascii="宋体" w:hAnsi="宋体" w:eastAsia="宋体"/>
                <w:kern w:val="0"/>
                <w:sz w:val="18"/>
                <w:szCs w:val="18"/>
              </w:rPr>
            </w:pPr>
            <w:r>
              <w:rPr>
                <w:rFonts w:hint="eastAsia" w:ascii="宋体" w:hAnsi="宋体" w:eastAsia="宋体"/>
                <w:b/>
                <w:bCs/>
                <w:kern w:val="0"/>
              </w:rPr>
              <w:t>合 计</w:t>
            </w:r>
          </w:p>
        </w:tc>
        <w:tc>
          <w:tcPr>
            <w:tcW w:w="1540" w:type="dxa"/>
            <w:tcBorders>
              <w:top w:val="single" w:color="auto" w:sz="4" w:space="0"/>
              <w:left w:val="nil"/>
              <w:bottom w:val="nil"/>
              <w:right w:val="single" w:color="auto" w:sz="4" w:space="0"/>
            </w:tcBorders>
            <w:vAlign w:val="top"/>
          </w:tcPr>
          <w:p>
            <w:pPr>
              <w:widowControl/>
              <w:tabs>
                <w:tab w:val="left" w:pos="635"/>
              </w:tabs>
              <w:spacing w:line="320" w:lineRule="exac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8625.95</w:t>
            </w:r>
          </w:p>
        </w:tc>
        <w:tc>
          <w:tcPr>
            <w:tcW w:w="1540" w:type="dxa"/>
            <w:tcBorders>
              <w:top w:val="single" w:color="auto" w:sz="4" w:space="0"/>
              <w:left w:val="nil"/>
              <w:bottom w:val="nil"/>
              <w:right w:val="single" w:color="auto" w:sz="4" w:space="0"/>
            </w:tcBorders>
            <w:vAlign w:val="top"/>
          </w:tcPr>
          <w:p>
            <w:pPr>
              <w:widowControl/>
              <w:tabs>
                <w:tab w:val="left" w:pos="565"/>
              </w:tabs>
              <w:spacing w:line="320" w:lineRule="exac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6694.52</w:t>
            </w:r>
          </w:p>
        </w:tc>
        <w:tc>
          <w:tcPr>
            <w:tcW w:w="1540" w:type="dxa"/>
            <w:tcBorders>
              <w:top w:val="single" w:color="auto" w:sz="4" w:space="0"/>
              <w:left w:val="nil"/>
              <w:bottom w:val="nil"/>
              <w:right w:val="nil"/>
            </w:tcBorders>
            <w:vAlign w:val="top"/>
          </w:tcPr>
          <w:p>
            <w:pPr>
              <w:widowControl/>
              <w:tabs>
                <w:tab w:val="left" w:pos="570"/>
              </w:tabs>
              <w:spacing w:line="320" w:lineRule="exac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1348.95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pPr>
              <w:spacing w:line="320" w:lineRule="exact"/>
            </w:pPr>
            <w:r>
              <w:rPr>
                <w:rFonts w:hint="eastAsia" w:ascii="宋体" w:hAnsi="宋体" w:eastAsia="宋体"/>
                <w:kern w:val="0"/>
              </w:rPr>
              <w:t xml:space="preserve"> 电信、广播电视和卫星传输服务</w:t>
            </w:r>
          </w:p>
        </w:tc>
        <w:tc>
          <w:tcPr>
            <w:tcW w:w="1540" w:type="dxa"/>
            <w:tcBorders>
              <w:top w:val="nil"/>
              <w:left w:val="nil"/>
              <w:bottom w:val="nil"/>
              <w:right w:val="single" w:color="auto" w:sz="4" w:space="0"/>
            </w:tcBorders>
            <w:vAlign w:val="top"/>
          </w:tcPr>
          <w:p>
            <w:pPr>
              <w:widowControl/>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2805.34</w:t>
            </w:r>
          </w:p>
        </w:tc>
        <w:tc>
          <w:tcPr>
            <w:tcW w:w="1540" w:type="dxa"/>
            <w:tcBorders>
              <w:top w:val="nil"/>
              <w:left w:val="nil"/>
              <w:bottom w:val="nil"/>
              <w:right w:val="single" w:color="auto" w:sz="4" w:space="0"/>
            </w:tcBorders>
            <w:vAlign w:val="top"/>
          </w:tcPr>
          <w:p>
            <w:pPr>
              <w:widowControl/>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2179.57</w:t>
            </w:r>
          </w:p>
        </w:tc>
        <w:tc>
          <w:tcPr>
            <w:tcW w:w="1540" w:type="dxa"/>
            <w:tcBorders>
              <w:top w:val="nil"/>
              <w:left w:val="nil"/>
              <w:bottom w:val="nil"/>
              <w:right w:val="nil"/>
            </w:tcBorders>
            <w:vAlign w:val="top"/>
          </w:tcPr>
          <w:p>
            <w:pPr>
              <w:widowControl/>
              <w:tabs>
                <w:tab w:val="left" w:pos="630"/>
              </w:tabs>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937.30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pPr>
              <w:spacing w:line="320" w:lineRule="exact"/>
            </w:pPr>
            <w:r>
              <w:rPr>
                <w:rFonts w:hint="eastAsia" w:ascii="宋体" w:hAnsi="宋体" w:eastAsia="宋体"/>
                <w:kern w:val="0"/>
              </w:rPr>
              <w:t xml:space="preserve"> 互联网和相关服务</w:t>
            </w:r>
          </w:p>
        </w:tc>
        <w:tc>
          <w:tcPr>
            <w:tcW w:w="1540" w:type="dxa"/>
            <w:tcBorders>
              <w:top w:val="nil"/>
              <w:left w:val="nil"/>
              <w:bottom w:val="nil"/>
              <w:right w:val="single" w:color="auto" w:sz="4" w:space="0"/>
            </w:tcBorders>
            <w:vAlign w:val="top"/>
          </w:tcPr>
          <w:p>
            <w:pPr>
              <w:widowControl/>
              <w:tabs>
                <w:tab w:val="left" w:pos="545"/>
              </w:tabs>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593.19</w:t>
            </w:r>
          </w:p>
        </w:tc>
        <w:tc>
          <w:tcPr>
            <w:tcW w:w="1540" w:type="dxa"/>
            <w:tcBorders>
              <w:top w:val="nil"/>
              <w:left w:val="nil"/>
              <w:bottom w:val="nil"/>
              <w:right w:val="single" w:color="auto" w:sz="4" w:space="0"/>
            </w:tcBorders>
            <w:vAlign w:val="top"/>
          </w:tcPr>
          <w:p>
            <w:pPr>
              <w:widowControl/>
              <w:tabs>
                <w:tab w:val="left" w:pos="595"/>
              </w:tabs>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8.64</w:t>
            </w:r>
          </w:p>
        </w:tc>
        <w:tc>
          <w:tcPr>
            <w:tcW w:w="1540" w:type="dxa"/>
            <w:tcBorders>
              <w:top w:val="nil"/>
              <w:left w:val="nil"/>
              <w:bottom w:val="nil"/>
              <w:right w:val="nil"/>
            </w:tcBorders>
            <w:vAlign w:val="top"/>
          </w:tcPr>
          <w:p>
            <w:pPr>
              <w:widowControl/>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126.03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686" w:type="dxa"/>
            <w:tcBorders>
              <w:top w:val="nil"/>
              <w:left w:val="nil"/>
              <w:bottom w:val="single" w:color="auto" w:sz="12" w:space="0"/>
              <w:right w:val="single" w:color="auto" w:sz="4" w:space="0"/>
            </w:tcBorders>
            <w:vAlign w:val="top"/>
          </w:tcPr>
          <w:p>
            <w:pPr>
              <w:spacing w:line="320" w:lineRule="exact"/>
            </w:pPr>
            <w:r>
              <w:rPr>
                <w:rFonts w:hint="eastAsia" w:ascii="宋体" w:hAnsi="宋体" w:eastAsia="宋体"/>
              </w:rPr>
              <w:t>　</w:t>
            </w:r>
            <w:r>
              <w:rPr>
                <w:rFonts w:hint="eastAsia" w:ascii="宋体" w:hAnsi="宋体" w:eastAsia="宋体"/>
                <w:kern w:val="0"/>
              </w:rPr>
              <w:t>软件和信息技术服务业</w:t>
            </w:r>
          </w:p>
        </w:tc>
        <w:tc>
          <w:tcPr>
            <w:tcW w:w="1540" w:type="dxa"/>
            <w:tcBorders>
              <w:top w:val="nil"/>
              <w:left w:val="nil"/>
              <w:bottom w:val="single" w:color="auto" w:sz="12" w:space="0"/>
              <w:right w:val="single" w:color="auto" w:sz="4" w:space="0"/>
            </w:tcBorders>
            <w:vAlign w:val="top"/>
          </w:tcPr>
          <w:p>
            <w:pPr>
              <w:widowControl/>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5227.41</w:t>
            </w:r>
          </w:p>
        </w:tc>
        <w:tc>
          <w:tcPr>
            <w:tcW w:w="1540" w:type="dxa"/>
            <w:tcBorders>
              <w:top w:val="nil"/>
              <w:left w:val="nil"/>
              <w:bottom w:val="single" w:color="auto" w:sz="12" w:space="0"/>
              <w:right w:val="single" w:color="auto" w:sz="4" w:space="0"/>
            </w:tcBorders>
            <w:vAlign w:val="top"/>
          </w:tcPr>
          <w:p>
            <w:pPr>
              <w:widowControl/>
              <w:tabs>
                <w:tab w:val="left" w:pos="595"/>
              </w:tabs>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4506.31</w:t>
            </w:r>
          </w:p>
        </w:tc>
        <w:tc>
          <w:tcPr>
            <w:tcW w:w="1540" w:type="dxa"/>
            <w:tcBorders>
              <w:top w:val="nil"/>
              <w:left w:val="nil"/>
              <w:bottom w:val="single" w:color="auto" w:sz="12" w:space="0"/>
              <w:right w:val="nil"/>
            </w:tcBorders>
            <w:vAlign w:val="top"/>
          </w:tcPr>
          <w:p>
            <w:pPr>
              <w:widowControl/>
              <w:spacing w:line="320" w:lineRule="exac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285.61</w:t>
            </w:r>
          </w:p>
        </w:tc>
      </w:tr>
    </w:tbl>
    <w:p>
      <w:pPr>
        <w:widowControl/>
        <w:spacing w:line="600" w:lineRule="exact"/>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lang w:val="en-US" w:eastAsia="zh-CN"/>
        </w:rPr>
        <w:t>五</w:t>
      </w:r>
      <w:r>
        <w:rPr>
          <w:rFonts w:hint="eastAsia" w:ascii="黑体" w:hAnsi="黑体" w:eastAsia="黑体"/>
          <w:color w:val="auto"/>
          <w:kern w:val="0"/>
          <w:sz w:val="32"/>
          <w:szCs w:val="32"/>
        </w:rPr>
        <w:t>、房地产业</w:t>
      </w:r>
    </w:p>
    <w:p>
      <w:pPr>
        <w:widowControl/>
        <w:spacing w:line="60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color w:val="auto"/>
          <w:kern w:val="0"/>
          <w:sz w:val="32"/>
          <w:szCs w:val="32"/>
        </w:rPr>
        <w:t>（一）企业法人</w:t>
      </w:r>
      <w:r>
        <w:rPr>
          <w:rFonts w:hint="eastAsia" w:ascii="楷体_GB2312" w:hAnsi="楷体" w:eastAsia="楷体_GB2312" w:cs="宋体"/>
          <w:kern w:val="0"/>
          <w:sz w:val="32"/>
          <w:szCs w:val="32"/>
        </w:rPr>
        <w:t>单位数和从业人员。</w:t>
      </w:r>
    </w:p>
    <w:p>
      <w:pPr>
        <w:widowControl/>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共有房地产业企业法人单位</w:t>
      </w:r>
      <w:r>
        <w:rPr>
          <w:rFonts w:hint="eastAsia" w:ascii="仿宋_GB2312" w:hAnsi="宋体" w:eastAsia="仿宋_GB2312" w:cs="宋体"/>
          <w:kern w:val="0"/>
          <w:sz w:val="32"/>
          <w:szCs w:val="32"/>
          <w:lang w:val="en-US" w:eastAsia="zh-CN"/>
        </w:rPr>
        <w:t>94</w:t>
      </w:r>
      <w:r>
        <w:rPr>
          <w:rFonts w:hint="eastAsia" w:ascii="仿宋_GB2312" w:hAnsi="宋体" w:eastAsia="仿宋_GB2312" w:cs="宋体"/>
          <w:kern w:val="0"/>
          <w:sz w:val="32"/>
          <w:szCs w:val="32"/>
        </w:rPr>
        <w:t>个，比2013年末增长</w:t>
      </w:r>
      <w:r>
        <w:rPr>
          <w:rFonts w:hint="eastAsia" w:ascii="仿宋_GB2312" w:hAnsi="宋体" w:eastAsia="仿宋_GB2312" w:cs="宋体"/>
          <w:kern w:val="0"/>
          <w:sz w:val="32"/>
          <w:szCs w:val="32"/>
          <w:lang w:val="en-US" w:eastAsia="zh-CN"/>
        </w:rPr>
        <w:t>147.37</w:t>
      </w:r>
      <w:r>
        <w:rPr>
          <w:rFonts w:hint="eastAsia" w:ascii="仿宋_GB2312" w:hAnsi="宋体" w:eastAsia="仿宋_GB2312" w:cs="宋体"/>
          <w:kern w:val="0"/>
          <w:sz w:val="32"/>
          <w:szCs w:val="32"/>
        </w:rPr>
        <w:t>%。其中，房地产开发经营企业</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个，物业管理企业</w:t>
      </w:r>
      <w:r>
        <w:rPr>
          <w:rFonts w:hint="eastAsia" w:ascii="仿宋_GB2312" w:hAnsi="宋体" w:eastAsia="仿宋_GB2312" w:cs="宋体"/>
          <w:kern w:val="0"/>
          <w:sz w:val="32"/>
          <w:szCs w:val="32"/>
          <w:lang w:val="en-US" w:eastAsia="zh-CN"/>
        </w:rPr>
        <w:t>33</w:t>
      </w:r>
      <w:r>
        <w:rPr>
          <w:rFonts w:hint="eastAsia" w:ascii="仿宋_GB2312" w:hAnsi="宋体" w:eastAsia="仿宋_GB2312" w:cs="宋体"/>
          <w:kern w:val="0"/>
          <w:sz w:val="32"/>
          <w:szCs w:val="32"/>
        </w:rPr>
        <w:t>个，房地产中介服务企业</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个，分别比2013年末增长</w:t>
      </w:r>
      <w:r>
        <w:rPr>
          <w:rFonts w:hint="eastAsia" w:ascii="仿宋_GB2312" w:hAnsi="宋体" w:eastAsia="仿宋_GB2312" w:cs="宋体"/>
          <w:kern w:val="0"/>
          <w:sz w:val="32"/>
          <w:szCs w:val="32"/>
          <w:lang w:val="en-US" w:eastAsia="zh-CN"/>
        </w:rPr>
        <w:t>250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560</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widowControl/>
        <w:spacing w:line="600" w:lineRule="exact"/>
        <w:ind w:firstLine="640" w:firstLineChars="200"/>
        <w:rPr>
          <w:rFonts w:ascii="仿宋_GB2312" w:hAnsi="宋体"/>
          <w:kern w:val="0"/>
          <w:sz w:val="32"/>
          <w:szCs w:val="32"/>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房地产业企业法人单位的从业人员为</w:t>
      </w:r>
      <w:r>
        <w:rPr>
          <w:rFonts w:hint="eastAsia" w:ascii="仿宋_GB2312" w:hAnsi="宋体" w:eastAsia="仿宋_GB2312" w:cs="宋体"/>
          <w:kern w:val="0"/>
          <w:sz w:val="32"/>
          <w:szCs w:val="32"/>
          <w:lang w:val="en-US" w:eastAsia="zh-CN"/>
        </w:rPr>
        <w:t>806</w:t>
      </w:r>
      <w:r>
        <w:rPr>
          <w:rFonts w:hint="eastAsia" w:ascii="仿宋_GB2312" w:hAnsi="宋体" w:eastAsia="仿宋_GB2312" w:cs="宋体"/>
          <w:kern w:val="0"/>
          <w:sz w:val="32"/>
          <w:szCs w:val="32"/>
        </w:rPr>
        <w:t>人，比2013年末增长</w:t>
      </w:r>
      <w:r>
        <w:rPr>
          <w:rFonts w:hint="eastAsia" w:ascii="仿宋_GB2312" w:hAnsi="宋体" w:eastAsia="仿宋_GB2312" w:cs="宋体"/>
          <w:kern w:val="0"/>
          <w:sz w:val="32"/>
          <w:szCs w:val="32"/>
          <w:lang w:val="en-US" w:eastAsia="zh-CN"/>
        </w:rPr>
        <w:t>17.49</w:t>
      </w:r>
      <w:r>
        <w:rPr>
          <w:rFonts w:hint="eastAsia" w:ascii="仿宋_GB2312" w:hAnsi="宋体" w:eastAsia="仿宋_GB2312" w:cs="宋体"/>
          <w:kern w:val="0"/>
          <w:sz w:val="32"/>
          <w:szCs w:val="32"/>
        </w:rPr>
        <w:t>%。其中，房地产开发经营企业</w:t>
      </w:r>
      <w:r>
        <w:rPr>
          <w:rFonts w:hint="eastAsia" w:ascii="仿宋_GB2312" w:hAnsi="宋体" w:eastAsia="仿宋_GB2312" w:cs="宋体"/>
          <w:kern w:val="0"/>
          <w:sz w:val="32"/>
          <w:szCs w:val="32"/>
          <w:lang w:val="en-US" w:eastAsia="zh-CN"/>
        </w:rPr>
        <w:t>177</w:t>
      </w:r>
      <w:r>
        <w:rPr>
          <w:rFonts w:hint="eastAsia" w:ascii="仿宋_GB2312" w:hAnsi="宋体" w:eastAsia="仿宋_GB2312" w:cs="宋体"/>
          <w:kern w:val="0"/>
          <w:sz w:val="32"/>
          <w:szCs w:val="32"/>
        </w:rPr>
        <w:t>人，物业管理企业</w:t>
      </w:r>
      <w:r>
        <w:rPr>
          <w:rFonts w:hint="eastAsia" w:ascii="仿宋_GB2312" w:hAnsi="宋体" w:eastAsia="仿宋_GB2312" w:cs="宋体"/>
          <w:kern w:val="0"/>
          <w:sz w:val="32"/>
          <w:szCs w:val="32"/>
          <w:lang w:val="en-US" w:eastAsia="zh-CN"/>
        </w:rPr>
        <w:t>193</w:t>
      </w:r>
      <w:r>
        <w:rPr>
          <w:rFonts w:hint="eastAsia" w:ascii="仿宋_GB2312" w:hAnsi="宋体" w:eastAsia="仿宋_GB2312" w:cs="宋体"/>
          <w:kern w:val="0"/>
          <w:sz w:val="32"/>
          <w:szCs w:val="32"/>
        </w:rPr>
        <w:t>人，房地产中介服务企业</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人，分别比2013年末增长</w:t>
      </w:r>
      <w:r>
        <w:rPr>
          <w:rFonts w:hint="eastAsia" w:ascii="仿宋_GB2312" w:hAnsi="宋体" w:eastAsia="仿宋_GB2312" w:cs="宋体"/>
          <w:kern w:val="0"/>
          <w:sz w:val="32"/>
          <w:szCs w:val="32"/>
          <w:lang w:val="en-US" w:eastAsia="zh-CN"/>
        </w:rPr>
        <w:t>168.18</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271.15</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11.11</w:t>
      </w:r>
      <w:r>
        <w:rPr>
          <w:rFonts w:hint="eastAsia" w:ascii="仿宋_GB2312" w:hAnsi="宋体" w:eastAsia="仿宋_GB2312" w:cs="宋体"/>
          <w:kern w:val="0"/>
          <w:sz w:val="32"/>
          <w:szCs w:val="32"/>
        </w:rPr>
        <w:t>%（详见表4-1</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p>
    <w:tbl>
      <w:tblPr>
        <w:tblStyle w:val="3"/>
        <w:tblW w:w="831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078"/>
        <w:gridCol w:w="2676"/>
        <w:gridCol w:w="25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12"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4-1</w:t>
            </w:r>
            <w:r>
              <w:rPr>
                <w:rFonts w:hint="eastAsia"/>
                <w:b/>
                <w:bCs/>
                <w:kern w:val="0"/>
                <w:sz w:val="24"/>
                <w:szCs w:val="24"/>
                <w:lang w:val="en-US" w:eastAsia="zh-CN"/>
              </w:rPr>
              <w:t>3</w:t>
            </w:r>
            <w:r>
              <w:rPr>
                <w:rFonts w:hint="eastAsia" w:ascii="宋体" w:hAnsi="宋体" w:eastAsia="宋体"/>
                <w:b/>
                <w:bCs/>
                <w:kern w:val="0"/>
                <w:sz w:val="24"/>
                <w:szCs w:val="24"/>
              </w:rPr>
              <w:t xml:space="preserve"> 按行业中类分组的房地产业企业法人单位和从业人员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3085"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kern w:val="0"/>
              </w:rPr>
              <w:t> </w:t>
            </w:r>
          </w:p>
        </w:tc>
        <w:tc>
          <w:tcPr>
            <w:tcW w:w="2676"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企业法人单位（个）</w:t>
            </w:r>
          </w:p>
        </w:tc>
        <w:tc>
          <w:tcPr>
            <w:tcW w:w="2551"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676" w:type="dxa"/>
            <w:tcBorders>
              <w:top w:val="single" w:color="auto" w:sz="4" w:space="0"/>
              <w:left w:val="nil"/>
              <w:bottom w:val="nil"/>
              <w:right w:val="single" w:color="auto" w:sz="4" w:space="0"/>
            </w:tcBorders>
            <w:vAlign w:val="top"/>
          </w:tcPr>
          <w:p>
            <w:pPr>
              <w:jc w:val="right"/>
              <w:rPr>
                <w:rFonts w:hint="default" w:eastAsia="黑体"/>
                <w:b/>
                <w:bCs/>
                <w:lang w:val="en-US" w:eastAsia="zh-CN"/>
              </w:rPr>
            </w:pPr>
            <w:r>
              <w:rPr>
                <w:rFonts w:hint="eastAsia" w:eastAsia="黑体"/>
                <w:b/>
                <w:bCs/>
                <w:lang w:val="en-US" w:eastAsia="zh-CN"/>
              </w:rPr>
              <w:t>94</w:t>
            </w:r>
          </w:p>
        </w:tc>
        <w:tc>
          <w:tcPr>
            <w:tcW w:w="2551" w:type="dxa"/>
            <w:tcBorders>
              <w:top w:val="single" w:color="auto" w:sz="4" w:space="0"/>
              <w:left w:val="nil"/>
              <w:bottom w:val="nil"/>
              <w:right w:val="nil"/>
            </w:tcBorders>
            <w:vAlign w:val="top"/>
          </w:tcPr>
          <w:p>
            <w:pPr>
              <w:jc w:val="right"/>
              <w:rPr>
                <w:rFonts w:hint="default" w:eastAsia="黑体"/>
                <w:b/>
                <w:bCs/>
                <w:lang w:val="en-US" w:eastAsia="zh-CN"/>
              </w:rPr>
            </w:pPr>
            <w:r>
              <w:rPr>
                <w:rFonts w:hint="eastAsia"/>
                <w:b/>
                <w:bCs/>
                <w:lang w:val="en-US" w:eastAsia="zh-CN"/>
              </w:rPr>
              <w:t>806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房地产开发经营</w:t>
            </w:r>
          </w:p>
        </w:tc>
        <w:tc>
          <w:tcPr>
            <w:tcW w:w="2676"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14</w:t>
            </w:r>
          </w:p>
        </w:tc>
        <w:tc>
          <w:tcPr>
            <w:tcW w:w="2551"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物业管理</w:t>
            </w:r>
          </w:p>
        </w:tc>
        <w:tc>
          <w:tcPr>
            <w:tcW w:w="2676"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33</w:t>
            </w:r>
          </w:p>
        </w:tc>
        <w:tc>
          <w:tcPr>
            <w:tcW w:w="2551"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房地产中介服务</w:t>
            </w:r>
          </w:p>
        </w:tc>
        <w:tc>
          <w:tcPr>
            <w:tcW w:w="2676" w:type="dxa"/>
            <w:tcBorders>
              <w:top w:val="nil"/>
              <w:left w:val="nil"/>
              <w:bottom w:val="nil"/>
              <w:right w:val="single" w:color="auto" w:sz="4" w:space="0"/>
            </w:tcBorders>
            <w:vAlign w:val="top"/>
          </w:tcPr>
          <w:p>
            <w:pPr>
              <w:jc w:val="right"/>
              <w:rPr>
                <w:rFonts w:hint="eastAsia" w:eastAsia="黑体"/>
                <w:lang w:val="en-US" w:eastAsia="zh-CN"/>
              </w:rPr>
            </w:pPr>
            <w:r>
              <w:rPr>
                <w:rFonts w:hint="eastAsia"/>
                <w:lang w:val="en-US" w:eastAsia="zh-CN"/>
              </w:rPr>
              <w:t>2</w:t>
            </w:r>
          </w:p>
        </w:tc>
        <w:tc>
          <w:tcPr>
            <w:tcW w:w="2551"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nil"/>
              <w:left w:val="nil"/>
              <w:bottom w:val="nil"/>
              <w:right w:val="single" w:color="auto" w:sz="4" w:space="0"/>
            </w:tcBorders>
            <w:vAlign w:val="center"/>
          </w:tcPr>
          <w:p>
            <w:pPr>
              <w:widowControl/>
              <w:spacing w:line="240" w:lineRule="atLeast"/>
              <w:ind w:left="57" w:right="57" w:firstLine="210" w:firstLineChars="100"/>
              <w:rPr>
                <w:rFonts w:ascii="宋体" w:hAnsi="宋体" w:eastAsia="宋体"/>
                <w:kern w:val="0"/>
                <w:sz w:val="18"/>
                <w:szCs w:val="18"/>
              </w:rPr>
            </w:pPr>
            <w:r>
              <w:rPr>
                <w:rFonts w:hint="eastAsia" w:ascii="宋体" w:hAnsi="宋体" w:eastAsia="宋体"/>
                <w:kern w:val="0"/>
              </w:rPr>
              <w:t>房地产租赁经营</w:t>
            </w:r>
          </w:p>
        </w:tc>
        <w:tc>
          <w:tcPr>
            <w:tcW w:w="2676"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45</w:t>
            </w:r>
          </w:p>
        </w:tc>
        <w:tc>
          <w:tcPr>
            <w:tcW w:w="2551"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426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078"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其他房地产业</w:t>
            </w:r>
          </w:p>
        </w:tc>
        <w:tc>
          <w:tcPr>
            <w:tcW w:w="2676" w:type="dxa"/>
            <w:tcBorders>
              <w:top w:val="nil"/>
              <w:left w:val="nil"/>
              <w:bottom w:val="single" w:color="auto" w:sz="12" w:space="0"/>
              <w:right w:val="single" w:color="auto" w:sz="4" w:space="0"/>
            </w:tcBorders>
            <w:vAlign w:val="top"/>
          </w:tcPr>
          <w:p>
            <w:pPr>
              <w:jc w:val="right"/>
              <w:rPr>
                <w:rFonts w:hint="eastAsia" w:eastAsia="黑体"/>
                <w:lang w:val="en-US" w:eastAsia="zh-CN"/>
              </w:rPr>
            </w:pPr>
            <w:r>
              <w:rPr>
                <w:rFonts w:hint="eastAsia"/>
                <w:lang w:val="en-US" w:eastAsia="zh-CN"/>
              </w:rPr>
              <w:t>-</w:t>
            </w:r>
          </w:p>
        </w:tc>
        <w:tc>
          <w:tcPr>
            <w:tcW w:w="2551" w:type="dxa"/>
            <w:tcBorders>
              <w:top w:val="nil"/>
              <w:left w:val="nil"/>
              <w:bottom w:val="single" w:color="auto" w:sz="12" w:space="0"/>
              <w:right w:val="nil"/>
            </w:tcBorders>
            <w:vAlign w:val="top"/>
          </w:tcPr>
          <w:p>
            <w:pPr>
              <w:jc w:val="right"/>
              <w:rPr>
                <w:rFonts w:hint="eastAsia" w:eastAsia="黑体"/>
                <w:lang w:val="en-US" w:eastAsia="zh-CN"/>
              </w:rPr>
            </w:pPr>
            <w:r>
              <w:rPr>
                <w:rFonts w:hint="eastAsia"/>
                <w:lang w:val="en-US" w:eastAsia="zh-CN"/>
              </w:rPr>
              <w:t>-</w:t>
            </w:r>
          </w:p>
        </w:tc>
      </w:tr>
    </w:tbl>
    <w:p>
      <w:pPr>
        <w:widowControl/>
        <w:spacing w:line="60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（二）主要经济指标。</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房地产业企业法人单位的资产总计为</w:t>
      </w:r>
      <w:r>
        <w:rPr>
          <w:rFonts w:hint="eastAsia" w:ascii="仿宋_GB2312" w:hAnsi="宋体" w:eastAsia="仿宋_GB2312" w:cs="宋体"/>
          <w:kern w:val="0"/>
          <w:sz w:val="32"/>
          <w:szCs w:val="32"/>
          <w:lang w:val="en-US" w:eastAsia="zh-CN"/>
        </w:rPr>
        <w:t>195931.34万</w:t>
      </w:r>
      <w:r>
        <w:rPr>
          <w:rFonts w:hint="eastAsia" w:ascii="仿宋_GB2312" w:hAnsi="宋体" w:eastAsia="仿宋_GB2312" w:cs="宋体"/>
          <w:kern w:val="0"/>
          <w:sz w:val="32"/>
          <w:szCs w:val="32"/>
        </w:rPr>
        <w:t>元，比2013年末增长</w:t>
      </w:r>
      <w:r>
        <w:rPr>
          <w:rFonts w:hint="eastAsia" w:ascii="仿宋_GB2312" w:hAnsi="宋体" w:eastAsia="仿宋_GB2312" w:cs="宋体"/>
          <w:kern w:val="0"/>
          <w:sz w:val="32"/>
          <w:szCs w:val="32"/>
          <w:lang w:val="en-US" w:eastAsia="zh-CN"/>
        </w:rPr>
        <w:t>979.36</w:t>
      </w:r>
      <w:r>
        <w:rPr>
          <w:rFonts w:hint="eastAsia" w:ascii="仿宋_GB2312" w:hAnsi="宋体" w:eastAsia="仿宋_GB2312" w:cs="宋体"/>
          <w:kern w:val="0"/>
          <w:sz w:val="32"/>
          <w:szCs w:val="32"/>
        </w:rPr>
        <w:t>%。其中，房地产开发经营企</w:t>
      </w:r>
      <w:r>
        <w:rPr>
          <w:rFonts w:hint="eastAsia" w:ascii="仿宋_GB2312" w:hAnsi="宋体" w:eastAsia="仿宋_GB2312" w:cs="宋体"/>
          <w:kern w:val="0"/>
          <w:sz w:val="32"/>
          <w:szCs w:val="32"/>
          <w:lang w:val="en-US" w:eastAsia="zh-CN"/>
        </w:rPr>
        <w:t>业162482.34万元</w:t>
      </w:r>
      <w:r>
        <w:rPr>
          <w:rFonts w:hint="eastAsia" w:ascii="仿宋_GB2312" w:hAnsi="宋体" w:eastAsia="仿宋_GB2312" w:cs="宋体"/>
          <w:kern w:val="0"/>
          <w:sz w:val="32"/>
          <w:szCs w:val="32"/>
        </w:rPr>
        <w:t>，物业管理企业</w:t>
      </w:r>
      <w:r>
        <w:rPr>
          <w:rFonts w:hint="eastAsia" w:ascii="仿宋_GB2312" w:hAnsi="宋体" w:eastAsia="仿宋_GB2312" w:cs="宋体"/>
          <w:kern w:val="0"/>
          <w:sz w:val="32"/>
          <w:szCs w:val="32"/>
          <w:lang w:val="en-US" w:eastAsia="zh-CN"/>
        </w:rPr>
        <w:t>1917.86万</w:t>
      </w:r>
      <w:r>
        <w:rPr>
          <w:rFonts w:hint="eastAsia" w:ascii="仿宋_GB2312" w:hAnsi="宋体" w:eastAsia="仿宋_GB2312" w:cs="宋体"/>
          <w:kern w:val="0"/>
          <w:sz w:val="32"/>
          <w:szCs w:val="32"/>
        </w:rPr>
        <w:t>元，房地产中介服务企业</w:t>
      </w:r>
      <w:r>
        <w:rPr>
          <w:rFonts w:hint="eastAsia" w:ascii="仿宋_GB2312" w:hAnsi="宋体" w:eastAsia="仿宋_GB2312" w:cs="宋体"/>
          <w:kern w:val="0"/>
          <w:sz w:val="32"/>
          <w:szCs w:val="32"/>
          <w:lang w:val="en-US" w:eastAsia="zh-CN"/>
        </w:rPr>
        <w:t>15.84万</w:t>
      </w:r>
      <w:r>
        <w:rPr>
          <w:rFonts w:hint="eastAsia" w:ascii="仿宋_GB2312" w:hAnsi="宋体" w:eastAsia="仿宋_GB2312" w:cs="宋体"/>
          <w:kern w:val="0"/>
          <w:sz w:val="32"/>
          <w:szCs w:val="32"/>
        </w:rPr>
        <w:t>元，分别比2013年末增长</w:t>
      </w:r>
      <w:r>
        <w:rPr>
          <w:rFonts w:hint="eastAsia" w:ascii="仿宋_GB2312" w:hAnsi="宋体" w:eastAsia="仿宋_GB2312" w:cs="宋体"/>
          <w:kern w:val="0"/>
          <w:sz w:val="32"/>
          <w:szCs w:val="32"/>
          <w:lang w:val="en-US" w:eastAsia="zh-CN"/>
        </w:rPr>
        <w:t>1648.63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456.64</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58.4</w:t>
      </w:r>
      <w:r>
        <w:rPr>
          <w:rFonts w:hint="eastAsia" w:ascii="仿宋_GB2312" w:hAnsi="宋体" w:eastAsia="仿宋_GB2312" w:cs="宋体"/>
          <w:kern w:val="0"/>
          <w:sz w:val="32"/>
          <w:szCs w:val="32"/>
        </w:rPr>
        <w:t>%。负债合计</w:t>
      </w:r>
      <w:r>
        <w:rPr>
          <w:rFonts w:hint="eastAsia" w:ascii="仿宋_GB2312" w:hAnsi="宋体" w:eastAsia="仿宋_GB2312" w:cs="宋体"/>
          <w:kern w:val="0"/>
          <w:sz w:val="32"/>
          <w:szCs w:val="32"/>
          <w:lang w:val="en-US" w:eastAsia="zh-CN"/>
        </w:rPr>
        <w:t>188635.57万</w:t>
      </w:r>
      <w:r>
        <w:rPr>
          <w:rFonts w:hint="eastAsia" w:ascii="仿宋_GB2312" w:hAnsi="宋体" w:eastAsia="仿宋_GB2312" w:cs="宋体"/>
          <w:kern w:val="0"/>
          <w:sz w:val="32"/>
          <w:szCs w:val="32"/>
        </w:rPr>
        <w:t>元。全年实现营业收入</w:t>
      </w:r>
      <w:r>
        <w:rPr>
          <w:rFonts w:hint="eastAsia" w:ascii="仿宋_GB2312" w:hAnsi="宋体" w:eastAsia="仿宋_GB2312" w:cs="宋体"/>
          <w:kern w:val="0"/>
          <w:sz w:val="32"/>
          <w:szCs w:val="32"/>
          <w:lang w:val="en-US" w:eastAsia="zh-CN"/>
        </w:rPr>
        <w:t>2790.72万</w:t>
      </w:r>
      <w:r>
        <w:rPr>
          <w:rFonts w:hint="eastAsia" w:ascii="仿宋_GB2312" w:hAnsi="宋体" w:eastAsia="仿宋_GB2312" w:cs="宋体"/>
          <w:kern w:val="0"/>
          <w:sz w:val="32"/>
          <w:szCs w:val="32"/>
        </w:rPr>
        <w:t>元（详见表4-1</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b/>
                <w:bCs/>
                <w:kern w:val="0"/>
                <w:sz w:val="24"/>
                <w:szCs w:val="24"/>
              </w:rPr>
            </w:pPr>
            <w:r>
              <w:rPr>
                <w:rFonts w:hint="eastAsia" w:ascii="宋体" w:hAnsi="宋体" w:eastAsia="宋体"/>
                <w:b/>
                <w:bCs/>
                <w:kern w:val="0"/>
                <w:sz w:val="24"/>
                <w:szCs w:val="24"/>
              </w:rPr>
              <w:t>表</w:t>
            </w:r>
            <w:r>
              <w:rPr>
                <w:rFonts w:hint="eastAsia"/>
                <w:b/>
                <w:bCs/>
                <w:kern w:val="0"/>
                <w:sz w:val="24"/>
                <w:szCs w:val="24"/>
              </w:rPr>
              <w:t>4-1</w:t>
            </w:r>
            <w:r>
              <w:rPr>
                <w:rFonts w:hint="eastAsia"/>
                <w:b/>
                <w:bCs/>
                <w:kern w:val="0"/>
                <w:sz w:val="24"/>
                <w:szCs w:val="24"/>
                <w:lang w:val="en-US" w:eastAsia="zh-CN"/>
              </w:rPr>
              <w:t>4</w:t>
            </w:r>
            <w:r>
              <w:rPr>
                <w:rFonts w:hint="eastAsia" w:ascii="宋体" w:hAnsi="宋体" w:eastAsia="宋体"/>
                <w:b/>
                <w:bCs/>
                <w:kern w:val="0"/>
                <w:sz w:val="24"/>
                <w:szCs w:val="24"/>
              </w:rPr>
              <w:t xml:space="preserve"> 按行业中类分组的房地产业企业法人单位主要经济指标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3686" w:type="dxa"/>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540"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1540" w:type="dxa"/>
            <w:tcBorders>
              <w:top w:val="single" w:color="auto" w:sz="4" w:space="0"/>
              <w:left w:val="nil"/>
              <w:bottom w:val="nil"/>
              <w:right w:val="single" w:color="auto" w:sz="4" w:space="0"/>
            </w:tcBorders>
            <w:vAlign w:val="top"/>
          </w:tcPr>
          <w:p>
            <w:pPr>
              <w:jc w:val="right"/>
              <w:rPr>
                <w:rFonts w:hint="default" w:eastAsia="黑体"/>
                <w:b/>
                <w:bCs/>
                <w:lang w:val="en-US" w:eastAsia="zh-CN"/>
              </w:rPr>
            </w:pPr>
            <w:r>
              <w:rPr>
                <w:rFonts w:hint="eastAsia"/>
                <w:b/>
                <w:bCs/>
                <w:lang w:val="en-US" w:eastAsia="zh-CN"/>
              </w:rPr>
              <w:t>195931.34</w:t>
            </w:r>
          </w:p>
        </w:tc>
        <w:tc>
          <w:tcPr>
            <w:tcW w:w="1540" w:type="dxa"/>
            <w:tcBorders>
              <w:top w:val="single" w:color="auto" w:sz="4" w:space="0"/>
              <w:left w:val="nil"/>
              <w:bottom w:val="nil"/>
              <w:right w:val="single" w:color="auto" w:sz="4" w:space="0"/>
            </w:tcBorders>
            <w:vAlign w:val="top"/>
          </w:tcPr>
          <w:p>
            <w:pPr>
              <w:tabs>
                <w:tab w:val="left" w:pos="370"/>
              </w:tabs>
              <w:jc w:val="right"/>
              <w:rPr>
                <w:rFonts w:hint="default" w:eastAsia="黑体"/>
                <w:b/>
                <w:bCs/>
                <w:lang w:val="en-US" w:eastAsia="zh-CN"/>
              </w:rPr>
            </w:pPr>
            <w:r>
              <w:rPr>
                <w:rFonts w:hint="eastAsia"/>
                <w:b/>
                <w:bCs/>
                <w:lang w:val="en-US" w:eastAsia="zh-CN"/>
              </w:rPr>
              <w:t>188635.57</w:t>
            </w:r>
          </w:p>
        </w:tc>
        <w:tc>
          <w:tcPr>
            <w:tcW w:w="1540" w:type="dxa"/>
            <w:tcBorders>
              <w:top w:val="single" w:color="auto" w:sz="4" w:space="0"/>
              <w:left w:val="nil"/>
              <w:bottom w:val="nil"/>
              <w:right w:val="nil"/>
            </w:tcBorders>
            <w:vAlign w:val="top"/>
          </w:tcPr>
          <w:p>
            <w:pPr>
              <w:jc w:val="right"/>
              <w:rPr>
                <w:rFonts w:hint="default" w:eastAsia="黑体"/>
                <w:b/>
                <w:bCs/>
                <w:lang w:val="en-US" w:eastAsia="zh-CN"/>
              </w:rPr>
            </w:pPr>
            <w:r>
              <w:rPr>
                <w:rFonts w:hint="eastAsia" w:eastAsia="黑体"/>
                <w:b/>
                <w:bCs/>
                <w:lang w:val="en-US" w:eastAsia="zh-CN"/>
              </w:rPr>
              <w:t>2790.72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房地产开发经营</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162482.34</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153616.58</w:t>
            </w:r>
          </w:p>
        </w:tc>
        <w:tc>
          <w:tcPr>
            <w:tcW w:w="1540"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189.49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物业管理</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1917.86</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1148.69</w:t>
            </w:r>
          </w:p>
        </w:tc>
        <w:tc>
          <w:tcPr>
            <w:tcW w:w="1540"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879.70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房地产中介服务</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15.84</w:t>
            </w:r>
          </w:p>
        </w:tc>
        <w:tc>
          <w:tcPr>
            <w:tcW w:w="1540" w:type="dxa"/>
            <w:tcBorders>
              <w:top w:val="nil"/>
              <w:left w:val="nil"/>
              <w:bottom w:val="nil"/>
              <w:right w:val="single" w:color="auto" w:sz="4" w:space="0"/>
            </w:tcBorders>
            <w:vAlign w:val="top"/>
          </w:tcPr>
          <w:p>
            <w:pPr>
              <w:tabs>
                <w:tab w:val="left" w:pos="265"/>
              </w:tabs>
              <w:jc w:val="right"/>
              <w:rPr>
                <w:rFonts w:hint="default" w:eastAsia="黑体"/>
                <w:lang w:val="en-US" w:eastAsia="zh-CN"/>
              </w:rPr>
            </w:pPr>
            <w:r>
              <w:rPr>
                <w:rFonts w:hint="eastAsia"/>
                <w:lang w:val="en-US" w:eastAsia="zh-CN"/>
              </w:rPr>
              <w:t>5.60</w:t>
            </w:r>
          </w:p>
        </w:tc>
        <w:tc>
          <w:tcPr>
            <w:tcW w:w="1540"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124.24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房地产租赁经营</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31515.29</w:t>
            </w:r>
          </w:p>
        </w:tc>
        <w:tc>
          <w:tcPr>
            <w:tcW w:w="1540" w:type="dxa"/>
            <w:tcBorders>
              <w:top w:val="nil"/>
              <w:left w:val="nil"/>
              <w:bottom w:val="nil"/>
              <w:right w:val="single" w:color="auto" w:sz="4" w:space="0"/>
            </w:tcBorders>
            <w:vAlign w:val="top"/>
          </w:tcPr>
          <w:p>
            <w:pPr>
              <w:jc w:val="right"/>
              <w:rPr>
                <w:rFonts w:hint="default" w:eastAsia="黑体"/>
                <w:lang w:val="en-US" w:eastAsia="zh-CN"/>
              </w:rPr>
            </w:pPr>
            <w:r>
              <w:rPr>
                <w:rFonts w:hint="eastAsia"/>
                <w:lang w:val="en-US" w:eastAsia="zh-CN"/>
              </w:rPr>
              <w:t>33864.69</w:t>
            </w:r>
          </w:p>
        </w:tc>
        <w:tc>
          <w:tcPr>
            <w:tcW w:w="1540" w:type="dxa"/>
            <w:tcBorders>
              <w:top w:val="nil"/>
              <w:left w:val="nil"/>
              <w:bottom w:val="nil"/>
              <w:right w:val="nil"/>
            </w:tcBorders>
            <w:vAlign w:val="top"/>
          </w:tcPr>
          <w:p>
            <w:pPr>
              <w:jc w:val="right"/>
              <w:rPr>
                <w:rFonts w:hint="default" w:eastAsia="黑体"/>
                <w:lang w:val="en-US" w:eastAsia="zh-CN"/>
              </w:rPr>
            </w:pPr>
            <w:r>
              <w:rPr>
                <w:rFonts w:hint="eastAsia"/>
                <w:lang w:val="en-US" w:eastAsia="zh-CN"/>
              </w:rPr>
              <w:t>1597.29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single" w:color="auto" w:sz="12" w:space="0"/>
              <w:right w:val="single" w:color="auto" w:sz="4" w:space="0"/>
            </w:tcBorders>
            <w:vAlign w:val="top"/>
          </w:tcPr>
          <w:p>
            <w:r>
              <w:rPr>
                <w:rFonts w:hint="eastAsia" w:ascii="宋体" w:hAnsi="宋体" w:eastAsia="宋体"/>
              </w:rPr>
              <w:t>　</w:t>
            </w:r>
            <w:r>
              <w:rPr>
                <w:rFonts w:hint="eastAsia" w:ascii="宋体" w:hAnsi="宋体" w:eastAsia="宋体"/>
                <w:kern w:val="0"/>
              </w:rPr>
              <w:t>其他房地产业</w:t>
            </w:r>
          </w:p>
        </w:tc>
        <w:tc>
          <w:tcPr>
            <w:tcW w:w="1540" w:type="dxa"/>
            <w:tcBorders>
              <w:top w:val="nil"/>
              <w:left w:val="nil"/>
              <w:bottom w:val="single" w:color="auto" w:sz="12" w:space="0"/>
              <w:right w:val="single" w:color="auto" w:sz="4" w:space="0"/>
            </w:tcBorders>
            <w:vAlign w:val="top"/>
          </w:tcPr>
          <w:p>
            <w:pPr>
              <w:jc w:val="right"/>
              <w:rPr>
                <w:rFonts w:hint="eastAsia" w:eastAsia="黑体"/>
                <w:lang w:val="en-US" w:eastAsia="zh-CN"/>
              </w:rPr>
            </w:pPr>
            <w:r>
              <w:rPr>
                <w:rFonts w:hint="eastAsia"/>
                <w:lang w:val="en-US" w:eastAsia="zh-CN"/>
              </w:rPr>
              <w:t>-</w:t>
            </w:r>
          </w:p>
        </w:tc>
        <w:tc>
          <w:tcPr>
            <w:tcW w:w="1540" w:type="dxa"/>
            <w:tcBorders>
              <w:top w:val="nil"/>
              <w:left w:val="nil"/>
              <w:bottom w:val="single" w:color="auto" w:sz="12" w:space="0"/>
              <w:right w:val="single" w:color="auto" w:sz="4" w:space="0"/>
            </w:tcBorders>
            <w:vAlign w:val="top"/>
          </w:tcPr>
          <w:p>
            <w:pPr>
              <w:jc w:val="right"/>
              <w:rPr>
                <w:rFonts w:hint="eastAsia" w:eastAsia="黑体"/>
                <w:lang w:val="en-US" w:eastAsia="zh-CN"/>
              </w:rPr>
            </w:pPr>
            <w:r>
              <w:rPr>
                <w:rFonts w:hint="eastAsia"/>
                <w:lang w:val="en-US" w:eastAsia="zh-CN"/>
              </w:rPr>
              <w:t>-</w:t>
            </w:r>
          </w:p>
        </w:tc>
        <w:tc>
          <w:tcPr>
            <w:tcW w:w="1540" w:type="dxa"/>
            <w:tcBorders>
              <w:top w:val="nil"/>
              <w:left w:val="nil"/>
              <w:bottom w:val="single" w:color="auto" w:sz="12" w:space="0"/>
              <w:right w:val="nil"/>
            </w:tcBorders>
            <w:vAlign w:val="top"/>
          </w:tcPr>
          <w:p>
            <w:pPr>
              <w:jc w:val="right"/>
              <w:rPr>
                <w:rFonts w:hint="eastAsia" w:eastAsia="黑体"/>
                <w:lang w:val="en-US" w:eastAsia="zh-CN"/>
              </w:rPr>
            </w:pPr>
            <w:r>
              <w:rPr>
                <w:rFonts w:hint="eastAsia"/>
                <w:lang w:val="en-US" w:eastAsia="zh-CN"/>
              </w:rPr>
              <w:t>-</w:t>
            </w:r>
          </w:p>
        </w:tc>
      </w:tr>
    </w:tbl>
    <w:p>
      <w:pPr>
        <w:widowControl/>
        <w:spacing w:line="60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rPr>
        <w:t>六</w:t>
      </w:r>
      <w:r>
        <w:rPr>
          <w:rFonts w:hint="eastAsia" w:ascii="黑体" w:hAnsi="黑体" w:eastAsia="黑体"/>
          <w:kern w:val="0"/>
          <w:sz w:val="32"/>
          <w:szCs w:val="32"/>
        </w:rPr>
        <w:t>、租赁和商务服务业</w:t>
      </w:r>
    </w:p>
    <w:p>
      <w:pPr>
        <w:widowControl/>
        <w:spacing w:line="600" w:lineRule="exact"/>
        <w:ind w:firstLine="640" w:firstLineChars="200"/>
        <w:rPr>
          <w:rFonts w:hint="eastAsia" w:ascii="楷体_GB2312" w:hAnsi="楷体"/>
          <w:kern w:val="0"/>
          <w:sz w:val="32"/>
          <w:szCs w:val="32"/>
        </w:rPr>
      </w:pPr>
      <w:r>
        <w:rPr>
          <w:rFonts w:hint="eastAsia" w:ascii="楷体_GB2312" w:hAnsi="楷体" w:eastAsia="楷体_GB2312" w:cs="宋体"/>
          <w:kern w:val="0"/>
          <w:sz w:val="32"/>
          <w:szCs w:val="32"/>
        </w:rPr>
        <w:t>（一）企业法人单位数和从业人员。</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共有租赁和商务服务业企业法人单位</w:t>
      </w:r>
      <w:r>
        <w:rPr>
          <w:rFonts w:hint="eastAsia" w:ascii="仿宋_GB2312" w:hAnsi="宋体" w:eastAsia="仿宋_GB2312" w:cs="宋体"/>
          <w:kern w:val="0"/>
          <w:sz w:val="32"/>
          <w:szCs w:val="32"/>
          <w:lang w:val="en-US" w:eastAsia="zh-CN"/>
        </w:rPr>
        <w:t>464</w:t>
      </w:r>
      <w:r>
        <w:rPr>
          <w:rFonts w:hint="eastAsia" w:ascii="仿宋_GB2312" w:hAnsi="宋体" w:eastAsia="仿宋_GB2312" w:cs="宋体"/>
          <w:kern w:val="0"/>
          <w:sz w:val="32"/>
          <w:szCs w:val="32"/>
        </w:rPr>
        <w:t>个，从业人员</w:t>
      </w:r>
      <w:r>
        <w:rPr>
          <w:rFonts w:hint="eastAsia" w:ascii="仿宋_GB2312" w:hAnsi="宋体" w:eastAsia="仿宋_GB2312" w:cs="宋体"/>
          <w:kern w:val="0"/>
          <w:sz w:val="32"/>
          <w:szCs w:val="32"/>
          <w:lang w:val="en-US" w:eastAsia="zh-CN"/>
        </w:rPr>
        <w:t>1913</w:t>
      </w:r>
      <w:r>
        <w:rPr>
          <w:rFonts w:hint="eastAsia" w:ascii="仿宋_GB2312" w:hAnsi="宋体" w:eastAsia="仿宋_GB2312" w:cs="宋体"/>
          <w:kern w:val="0"/>
          <w:sz w:val="32"/>
          <w:szCs w:val="32"/>
        </w:rPr>
        <w:t>人，分别比2013年末增长</w:t>
      </w:r>
      <w:r>
        <w:rPr>
          <w:rFonts w:hint="eastAsia" w:ascii="仿宋_GB2312" w:hAnsi="宋体" w:eastAsia="仿宋_GB2312" w:cs="宋体"/>
          <w:kern w:val="0"/>
          <w:sz w:val="32"/>
          <w:szCs w:val="32"/>
          <w:lang w:val="en-US" w:eastAsia="zh-CN"/>
        </w:rPr>
        <w:t>445.88</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288.03</w:t>
      </w:r>
      <w:r>
        <w:rPr>
          <w:rFonts w:hint="eastAsia" w:ascii="仿宋_GB2312" w:hAnsi="宋体" w:eastAsia="仿宋_GB2312" w:cs="宋体"/>
          <w:kern w:val="0"/>
          <w:sz w:val="32"/>
          <w:szCs w:val="32"/>
        </w:rPr>
        <w:t>%。</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在租赁和商务服务业企业法人单位中，租赁业占</w:t>
      </w:r>
      <w:r>
        <w:rPr>
          <w:rFonts w:hint="eastAsia" w:ascii="仿宋_GB2312" w:hAnsi="宋体" w:eastAsia="仿宋_GB2312" w:cs="宋体"/>
          <w:kern w:val="0"/>
          <w:sz w:val="32"/>
          <w:szCs w:val="32"/>
          <w:lang w:val="en-US" w:eastAsia="zh-CN"/>
        </w:rPr>
        <w:t>43.97</w:t>
      </w:r>
      <w:r>
        <w:rPr>
          <w:rFonts w:hint="eastAsia" w:ascii="仿宋_GB2312" w:hAnsi="宋体" w:eastAsia="仿宋_GB2312" w:cs="宋体"/>
          <w:kern w:val="0"/>
          <w:sz w:val="32"/>
          <w:szCs w:val="32"/>
        </w:rPr>
        <w:t>%，商务服务业占</w:t>
      </w:r>
      <w:r>
        <w:rPr>
          <w:rFonts w:hint="eastAsia" w:ascii="仿宋_GB2312" w:hAnsi="宋体" w:eastAsia="仿宋_GB2312" w:cs="宋体"/>
          <w:kern w:val="0"/>
          <w:sz w:val="32"/>
          <w:szCs w:val="32"/>
          <w:lang w:val="en-US" w:eastAsia="zh-CN"/>
        </w:rPr>
        <w:t>56.03</w:t>
      </w:r>
      <w:r>
        <w:rPr>
          <w:rFonts w:hint="eastAsia" w:ascii="仿宋_GB2312" w:hAnsi="宋体" w:eastAsia="仿宋_GB2312" w:cs="宋体"/>
          <w:kern w:val="0"/>
          <w:sz w:val="32"/>
          <w:szCs w:val="32"/>
        </w:rPr>
        <w:t>%。在租赁和商务服务业企业法人单位从业人员中，租赁业占</w:t>
      </w:r>
      <w:r>
        <w:rPr>
          <w:rFonts w:hint="eastAsia" w:ascii="仿宋_GB2312" w:hAnsi="宋体" w:eastAsia="仿宋_GB2312" w:cs="宋体"/>
          <w:kern w:val="0"/>
          <w:sz w:val="32"/>
          <w:szCs w:val="32"/>
          <w:lang w:val="en-US" w:eastAsia="zh-CN"/>
        </w:rPr>
        <w:t>50.24</w:t>
      </w:r>
      <w:r>
        <w:rPr>
          <w:rFonts w:hint="eastAsia" w:ascii="仿宋_GB2312" w:hAnsi="宋体" w:eastAsia="仿宋_GB2312" w:cs="宋体"/>
          <w:kern w:val="0"/>
          <w:sz w:val="32"/>
          <w:szCs w:val="32"/>
        </w:rPr>
        <w:t>%，商务服务业占</w:t>
      </w:r>
      <w:r>
        <w:rPr>
          <w:rFonts w:hint="eastAsia" w:ascii="仿宋_GB2312" w:hAnsi="宋体" w:eastAsia="仿宋_GB2312" w:cs="宋体"/>
          <w:kern w:val="0"/>
          <w:sz w:val="32"/>
          <w:szCs w:val="32"/>
          <w:lang w:val="en-US" w:eastAsia="zh-CN"/>
        </w:rPr>
        <w:t>49.76</w:t>
      </w:r>
      <w:r>
        <w:rPr>
          <w:rFonts w:hint="eastAsia" w:ascii="仿宋_GB2312" w:hAnsi="宋体" w:eastAsia="仿宋_GB2312" w:cs="宋体"/>
          <w:kern w:val="0"/>
          <w:sz w:val="32"/>
          <w:szCs w:val="32"/>
        </w:rPr>
        <w:t>%（详见表4-1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p>
    <w:tbl>
      <w:tblPr>
        <w:tblStyle w:val="3"/>
        <w:tblW w:w="832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385"/>
        <w:gridCol w:w="2563"/>
        <w:gridCol w:w="2351"/>
        <w:gridCol w:w="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4-1</w:t>
            </w:r>
            <w:r>
              <w:rPr>
                <w:rFonts w:hint="eastAsia"/>
                <w:b/>
                <w:bCs/>
                <w:kern w:val="0"/>
                <w:sz w:val="24"/>
                <w:szCs w:val="24"/>
                <w:lang w:val="en-US" w:eastAsia="zh-CN"/>
              </w:rPr>
              <w:t>5</w:t>
            </w:r>
            <w:r>
              <w:rPr>
                <w:rFonts w:hint="eastAsia" w:ascii="宋体" w:hAnsi="宋体" w:eastAsia="宋体"/>
                <w:b/>
                <w:bCs/>
                <w:kern w:val="0"/>
                <w:sz w:val="24"/>
                <w:szCs w:val="24"/>
              </w:rPr>
              <w:t xml:space="preserve"> 按行业大类分组的租赁和商务服务业企业法人单位和从业人员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392"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kern w:val="0"/>
              </w:rPr>
              <w:t> </w:t>
            </w:r>
          </w:p>
        </w:tc>
        <w:tc>
          <w:tcPr>
            <w:tcW w:w="2563"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企业法人单位（个）</w:t>
            </w:r>
          </w:p>
        </w:tc>
        <w:tc>
          <w:tcPr>
            <w:tcW w:w="2370" w:type="dxa"/>
            <w:gridSpan w:val="2"/>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563" w:type="dxa"/>
            <w:tcBorders>
              <w:top w:val="single" w:color="auto" w:sz="4" w:space="0"/>
              <w:left w:val="nil"/>
              <w:bottom w:val="nil"/>
              <w:right w:val="single" w:color="auto" w:sz="4" w:space="0"/>
            </w:tcBorders>
            <w:vAlign w:val="center"/>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464</w:t>
            </w:r>
          </w:p>
        </w:tc>
        <w:tc>
          <w:tcPr>
            <w:tcW w:w="2370" w:type="dxa"/>
            <w:gridSpan w:val="2"/>
            <w:tcBorders>
              <w:top w:val="single" w:color="auto" w:sz="4" w:space="0"/>
              <w:left w:val="nil"/>
              <w:bottom w:val="nil"/>
              <w:right w:val="nil"/>
            </w:tcBorders>
            <w:vAlign w:val="center"/>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1913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5"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租赁业</w:t>
            </w:r>
          </w:p>
        </w:tc>
        <w:tc>
          <w:tcPr>
            <w:tcW w:w="2563" w:type="dxa"/>
            <w:tcBorders>
              <w:top w:val="nil"/>
              <w:left w:val="nil"/>
              <w:bottom w:val="nil"/>
              <w:right w:val="single" w:color="auto" w:sz="4" w:space="0"/>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204</w:t>
            </w:r>
          </w:p>
        </w:tc>
        <w:tc>
          <w:tcPr>
            <w:tcW w:w="2370" w:type="dxa"/>
            <w:gridSpan w:val="2"/>
            <w:tcBorders>
              <w:top w:val="nil"/>
              <w:left w:val="nil"/>
              <w:bottom w:val="nil"/>
              <w:right w:val="nil"/>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5"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商务服务业</w:t>
            </w:r>
          </w:p>
        </w:tc>
        <w:tc>
          <w:tcPr>
            <w:tcW w:w="2563" w:type="dxa"/>
            <w:tcBorders>
              <w:top w:val="nil"/>
              <w:left w:val="nil"/>
              <w:bottom w:val="single" w:color="auto" w:sz="12" w:space="0"/>
              <w:right w:val="single" w:color="auto" w:sz="4" w:space="0"/>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260</w:t>
            </w:r>
          </w:p>
        </w:tc>
        <w:tc>
          <w:tcPr>
            <w:tcW w:w="2370" w:type="dxa"/>
            <w:gridSpan w:val="2"/>
            <w:tcBorders>
              <w:top w:val="nil"/>
              <w:left w:val="nil"/>
              <w:bottom w:val="single" w:color="auto" w:sz="12" w:space="0"/>
              <w:right w:val="nil"/>
            </w:tcBorders>
            <w:vAlign w:val="center"/>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952</w:t>
            </w:r>
          </w:p>
        </w:tc>
      </w:tr>
    </w:tbl>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在租赁和商务服务业企业法人单位中，内资企业占</w:t>
      </w:r>
      <w:r>
        <w:rPr>
          <w:rFonts w:hint="eastAsia" w:ascii="仿宋_GB2312" w:hAnsi="宋体" w:eastAsia="仿宋_GB2312" w:cs="宋体"/>
          <w:kern w:val="0"/>
          <w:sz w:val="32"/>
          <w:szCs w:val="32"/>
          <w:lang w:val="en-US" w:eastAsia="zh-CN"/>
        </w:rPr>
        <w:t>99.78</w:t>
      </w:r>
      <w:r>
        <w:rPr>
          <w:rFonts w:hint="eastAsia" w:ascii="仿宋_GB2312" w:hAnsi="宋体" w:eastAsia="仿宋_GB2312" w:cs="宋体"/>
          <w:kern w:val="0"/>
          <w:sz w:val="32"/>
          <w:szCs w:val="32"/>
        </w:rPr>
        <w:t>%，港、澳、台商投资企业占</w:t>
      </w:r>
      <w:r>
        <w:rPr>
          <w:rFonts w:hint="eastAsia" w:ascii="仿宋_GB2312" w:hAnsi="宋体" w:eastAsia="仿宋_GB2312" w:cs="宋体"/>
          <w:kern w:val="0"/>
          <w:sz w:val="32"/>
          <w:szCs w:val="32"/>
          <w:lang w:val="en-US" w:eastAsia="zh-CN"/>
        </w:rPr>
        <w:t>0.22</w:t>
      </w:r>
      <w:r>
        <w:rPr>
          <w:rFonts w:hint="eastAsia" w:ascii="仿宋_GB2312" w:hAnsi="宋体" w:eastAsia="仿宋_GB2312" w:cs="宋体"/>
          <w:kern w:val="0"/>
          <w:sz w:val="32"/>
          <w:szCs w:val="32"/>
        </w:rPr>
        <w:t>%。</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在租赁和商务服务业企业法人单位从业人员中，内资企业占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%（详见表4-1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w:t>
      </w:r>
    </w:p>
    <w:tbl>
      <w:tblPr>
        <w:tblStyle w:val="3"/>
        <w:tblW w:w="8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386"/>
        <w:gridCol w:w="2563"/>
        <w:gridCol w:w="2350"/>
        <w:gridCol w:w="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22" w:type="dxa"/>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kern w:val="0"/>
                <w:sz w:val="24"/>
                <w:szCs w:val="24"/>
              </w:rPr>
            </w:pPr>
            <w:r>
              <w:rPr>
                <w:rFonts w:hint="eastAsia" w:ascii="宋体" w:hAnsi="宋体" w:eastAsia="宋体"/>
                <w:b/>
                <w:bCs/>
                <w:kern w:val="0"/>
                <w:sz w:val="24"/>
                <w:szCs w:val="24"/>
              </w:rPr>
              <w:t>表</w:t>
            </w:r>
            <w:r>
              <w:rPr>
                <w:rFonts w:hint="eastAsia"/>
                <w:b/>
                <w:bCs/>
                <w:kern w:val="0"/>
                <w:sz w:val="24"/>
                <w:szCs w:val="24"/>
              </w:rPr>
              <w:t>4-1</w:t>
            </w:r>
            <w:r>
              <w:rPr>
                <w:rFonts w:hint="eastAsia"/>
                <w:b/>
                <w:bCs/>
                <w:kern w:val="0"/>
                <w:sz w:val="24"/>
                <w:szCs w:val="24"/>
                <w:lang w:val="en-US" w:eastAsia="zh-CN"/>
              </w:rPr>
              <w:t>6</w:t>
            </w:r>
            <w:r>
              <w:rPr>
                <w:rFonts w:hint="eastAsia" w:ascii="宋体" w:hAnsi="宋体" w:eastAsia="宋体"/>
                <w:b/>
                <w:bCs/>
                <w:kern w:val="0"/>
                <w:sz w:val="24"/>
                <w:szCs w:val="24"/>
              </w:rPr>
              <w:t xml:space="preserve"> 按登记注册类型分组的租赁和商务服务业企业法人单位和从业人员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393"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 </w:t>
            </w:r>
          </w:p>
        </w:tc>
        <w:tc>
          <w:tcPr>
            <w:tcW w:w="2563"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企业法人单位</w:t>
            </w:r>
            <w:r>
              <w:rPr>
                <w:rFonts w:hint="eastAsia"/>
                <w:b/>
                <w:bCs/>
                <w:kern w:val="0"/>
              </w:rPr>
              <w:t>(</w:t>
            </w:r>
            <w:r>
              <w:rPr>
                <w:rFonts w:hint="eastAsia" w:ascii="宋体" w:hAnsi="宋体" w:eastAsia="宋体"/>
                <w:b/>
                <w:bCs/>
                <w:kern w:val="0"/>
              </w:rPr>
              <w:t>个</w:t>
            </w:r>
            <w:r>
              <w:rPr>
                <w:rFonts w:hint="eastAsia"/>
                <w:b/>
                <w:bCs/>
                <w:kern w:val="0"/>
              </w:rPr>
              <w:t>)</w:t>
            </w:r>
          </w:p>
        </w:tc>
        <w:tc>
          <w:tcPr>
            <w:tcW w:w="2372" w:type="dxa"/>
            <w:gridSpan w:val="2"/>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从业人员</w:t>
            </w:r>
            <w:r>
              <w:rPr>
                <w:rFonts w:hint="eastAsia"/>
                <w:b/>
                <w:bCs/>
                <w:kern w:val="0"/>
              </w:rPr>
              <w:t>(</w:t>
            </w:r>
            <w:r>
              <w:rPr>
                <w:rFonts w:hint="eastAsia" w:ascii="宋体" w:hAnsi="宋体" w:eastAsia="宋体"/>
                <w:b/>
                <w:bCs/>
                <w:kern w:val="0"/>
              </w:rPr>
              <w:t>人</w:t>
            </w:r>
            <w:r>
              <w:rPr>
                <w:rFonts w:hint="eastAsia"/>
                <w:b/>
                <w:bCs/>
                <w:kern w:val="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2563" w:type="dxa"/>
            <w:tcBorders>
              <w:top w:val="single" w:color="auto" w:sz="4" w:space="0"/>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464</w:t>
            </w:r>
          </w:p>
        </w:tc>
        <w:tc>
          <w:tcPr>
            <w:tcW w:w="2372" w:type="dxa"/>
            <w:gridSpan w:val="2"/>
            <w:tcBorders>
              <w:top w:val="single" w:color="auto" w:sz="4" w:space="0"/>
              <w:left w:val="nil"/>
              <w:bottom w:val="nil"/>
              <w:right w:val="nil"/>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1913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内资企业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463</w:t>
            </w:r>
          </w:p>
        </w:tc>
        <w:tc>
          <w:tcPr>
            <w:tcW w:w="2372" w:type="dxa"/>
            <w:gridSpan w:val="2"/>
            <w:tcBorders>
              <w:top w:val="nil"/>
              <w:left w:val="nil"/>
              <w:bottom w:val="nil"/>
              <w:right w:val="nil"/>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1913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firstLine="105" w:firstLineChars="50"/>
              <w:rPr>
                <w:rFonts w:ascii="宋体" w:hAnsi="宋体" w:eastAsia="宋体"/>
                <w:kern w:val="0"/>
                <w:sz w:val="18"/>
                <w:szCs w:val="18"/>
              </w:rPr>
            </w:pPr>
            <w:r>
              <w:rPr>
                <w:rFonts w:hint="eastAsia" w:ascii="宋体" w:hAnsi="宋体" w:eastAsia="宋体"/>
                <w:kern w:val="0"/>
              </w:rPr>
              <w:t xml:space="preserve">  国有企业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3</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集体企业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67</w:t>
            </w:r>
          </w:p>
        </w:tc>
        <w:tc>
          <w:tcPr>
            <w:tcW w:w="2372" w:type="dxa"/>
            <w:gridSpan w:val="2"/>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股份合作企业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联营企业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1</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有限责任公司</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27</w:t>
            </w:r>
          </w:p>
        </w:tc>
        <w:tc>
          <w:tcPr>
            <w:tcW w:w="2372" w:type="dxa"/>
            <w:gridSpan w:val="2"/>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股份有限公司</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1</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私营企业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363</w:t>
            </w:r>
          </w:p>
        </w:tc>
        <w:tc>
          <w:tcPr>
            <w:tcW w:w="2372" w:type="dxa"/>
            <w:gridSpan w:val="2"/>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1645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kern w:val="0"/>
                <w:sz w:val="18"/>
                <w:szCs w:val="18"/>
              </w:rPr>
            </w:pPr>
            <w:r>
              <w:rPr>
                <w:rFonts w:hint="eastAsia" w:ascii="宋体" w:hAnsi="宋体" w:eastAsia="宋体"/>
                <w:kern w:val="0"/>
              </w:rPr>
              <w:t xml:space="preserve">   其他企业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kern w:val="0"/>
                <w:sz w:val="18"/>
                <w:szCs w:val="18"/>
                <w:lang w:val="en-US" w:eastAsia="zh-CN"/>
              </w:rPr>
            </w:pPr>
            <w:r>
              <w:rPr>
                <w:rFonts w:hint="eastAsia" w:ascii="宋体" w:hAnsi="宋体"/>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nil"/>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港、澳、台商投资企业</w:t>
            </w:r>
          </w:p>
        </w:tc>
        <w:tc>
          <w:tcPr>
            <w:tcW w:w="2563" w:type="dxa"/>
            <w:tcBorders>
              <w:top w:val="nil"/>
              <w:left w:val="nil"/>
              <w:bottom w:val="nil"/>
              <w:right w:val="single" w:color="auto" w:sz="4" w:space="0"/>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eastAsia="宋体"/>
                <w:b/>
                <w:bCs/>
                <w:kern w:val="0"/>
                <w:sz w:val="18"/>
                <w:szCs w:val="18"/>
                <w:lang w:val="en-US" w:eastAsia="zh-CN"/>
              </w:rPr>
              <w:t>1</w:t>
            </w:r>
          </w:p>
        </w:tc>
        <w:tc>
          <w:tcPr>
            <w:tcW w:w="2372" w:type="dxa"/>
            <w:gridSpan w:val="2"/>
            <w:tcBorders>
              <w:top w:val="nil"/>
              <w:left w:val="nil"/>
              <w:bottom w:val="nil"/>
              <w:right w:val="nil"/>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b/>
                <w:bCs/>
                <w:kern w:val="0"/>
                <w:sz w:val="18"/>
                <w:szCs w:val="1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386"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eastAsia="宋体"/>
                <w:b/>
                <w:bCs/>
                <w:kern w:val="0"/>
                <w:sz w:val="18"/>
                <w:szCs w:val="18"/>
              </w:rPr>
            </w:pPr>
            <w:r>
              <w:rPr>
                <w:rFonts w:hint="eastAsia" w:ascii="宋体" w:hAnsi="宋体" w:eastAsia="宋体"/>
                <w:b/>
                <w:bCs/>
                <w:kern w:val="0"/>
              </w:rPr>
              <w:t>外商投资企业</w:t>
            </w:r>
          </w:p>
        </w:tc>
        <w:tc>
          <w:tcPr>
            <w:tcW w:w="2563" w:type="dxa"/>
            <w:tcBorders>
              <w:top w:val="nil"/>
              <w:left w:val="nil"/>
              <w:bottom w:val="single" w:color="auto" w:sz="12" w:space="0"/>
              <w:right w:val="single" w:color="auto" w:sz="4" w:space="0"/>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b/>
                <w:bCs/>
                <w:kern w:val="0"/>
                <w:sz w:val="18"/>
                <w:szCs w:val="18"/>
                <w:lang w:val="en-US" w:eastAsia="zh-CN"/>
              </w:rPr>
              <w:t>-</w:t>
            </w:r>
          </w:p>
        </w:tc>
        <w:tc>
          <w:tcPr>
            <w:tcW w:w="2372" w:type="dxa"/>
            <w:gridSpan w:val="2"/>
            <w:tcBorders>
              <w:top w:val="nil"/>
              <w:left w:val="nil"/>
              <w:bottom w:val="single" w:color="auto" w:sz="12" w:space="0"/>
              <w:right w:val="nil"/>
            </w:tcBorders>
            <w:vAlign w:val="top"/>
          </w:tcPr>
          <w:p>
            <w:pPr>
              <w:widowControl/>
              <w:spacing w:line="240" w:lineRule="atLeast"/>
              <w:ind w:left="57" w:right="57"/>
              <w:jc w:val="right"/>
              <w:rPr>
                <w:rFonts w:hint="eastAsia" w:ascii="宋体" w:hAnsi="宋体" w:eastAsia="宋体"/>
                <w:b/>
                <w:bCs/>
                <w:kern w:val="0"/>
                <w:sz w:val="18"/>
                <w:szCs w:val="18"/>
                <w:lang w:val="en-US" w:eastAsia="zh-CN"/>
              </w:rPr>
            </w:pPr>
            <w:r>
              <w:rPr>
                <w:rFonts w:hint="eastAsia" w:ascii="宋体" w:hAnsi="宋体"/>
                <w:b/>
                <w:bCs/>
                <w:kern w:val="0"/>
                <w:sz w:val="18"/>
                <w:szCs w:val="18"/>
                <w:lang w:val="en-US" w:eastAsia="zh-CN"/>
              </w:rPr>
              <w:t>-</w:t>
            </w:r>
          </w:p>
        </w:tc>
      </w:tr>
    </w:tbl>
    <w:p>
      <w:pPr>
        <w:widowControl/>
        <w:spacing w:line="600" w:lineRule="exact"/>
        <w:ind w:firstLine="640" w:firstLineChars="200"/>
        <w:rPr>
          <w:rFonts w:hint="eastAsia" w:ascii="楷体_GB2312" w:hAnsi="楷体" w:eastAsia="楷体_GB2312" w:cs="宋体"/>
          <w:kern w:val="0"/>
          <w:sz w:val="32"/>
          <w:szCs w:val="32"/>
        </w:rPr>
      </w:pPr>
      <w:r>
        <w:rPr>
          <w:rFonts w:hint="eastAsia" w:ascii="楷体_GB2312" w:hAnsi="楷体" w:eastAsia="楷体_GB2312" w:cs="宋体"/>
          <w:kern w:val="0"/>
          <w:sz w:val="32"/>
          <w:szCs w:val="32"/>
        </w:rPr>
        <w:t>（二）主要经济指标。</w:t>
      </w:r>
    </w:p>
    <w:p>
      <w:pPr>
        <w:widowControl/>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2018年末，租赁和商务服务业企业法人单位资产总计</w:t>
      </w:r>
      <w:r>
        <w:rPr>
          <w:rFonts w:hint="eastAsia" w:ascii="仿宋_GB2312" w:hAnsi="宋体" w:eastAsia="仿宋_GB2312" w:cs="宋体"/>
          <w:kern w:val="0"/>
          <w:sz w:val="32"/>
          <w:szCs w:val="32"/>
          <w:lang w:val="en-US" w:eastAsia="zh-CN"/>
        </w:rPr>
        <w:t>263031.57万</w:t>
      </w:r>
      <w:r>
        <w:rPr>
          <w:rFonts w:hint="eastAsia" w:ascii="仿宋_GB2312" w:hAnsi="宋体" w:eastAsia="仿宋_GB2312" w:cs="宋体"/>
          <w:kern w:val="0"/>
          <w:sz w:val="32"/>
          <w:szCs w:val="32"/>
        </w:rPr>
        <w:t>元，比2013年末增长</w:t>
      </w:r>
      <w:r>
        <w:rPr>
          <w:rFonts w:hint="eastAsia" w:ascii="仿宋_GB2312" w:hAnsi="宋体" w:eastAsia="仿宋_GB2312" w:cs="宋体"/>
          <w:kern w:val="0"/>
          <w:sz w:val="32"/>
          <w:szCs w:val="32"/>
          <w:lang w:val="en-US" w:eastAsia="zh-CN"/>
        </w:rPr>
        <w:t>320.57</w:t>
      </w:r>
      <w:r>
        <w:rPr>
          <w:rFonts w:hint="eastAsia" w:ascii="仿宋_GB2312" w:hAnsi="宋体" w:eastAsia="仿宋_GB2312" w:cs="宋体"/>
          <w:kern w:val="0"/>
          <w:sz w:val="32"/>
          <w:szCs w:val="32"/>
        </w:rPr>
        <w:t>%。其中，租赁业企业法人单位资产总计</w:t>
      </w:r>
      <w:r>
        <w:rPr>
          <w:rFonts w:hint="eastAsia" w:ascii="仿宋_GB2312" w:hAnsi="宋体" w:eastAsia="仿宋_GB2312" w:cs="宋体"/>
          <w:kern w:val="0"/>
          <w:sz w:val="32"/>
          <w:szCs w:val="32"/>
          <w:lang w:val="en-US" w:eastAsia="zh-CN"/>
        </w:rPr>
        <w:t>33278.25万</w:t>
      </w:r>
      <w:r>
        <w:rPr>
          <w:rFonts w:hint="eastAsia" w:ascii="仿宋_GB2312" w:hAnsi="宋体" w:eastAsia="仿宋_GB2312" w:cs="宋体"/>
          <w:kern w:val="0"/>
          <w:sz w:val="32"/>
          <w:szCs w:val="32"/>
        </w:rPr>
        <w:t>元，商务服务业企业法人单位资产总计</w:t>
      </w:r>
      <w:r>
        <w:rPr>
          <w:rFonts w:hint="eastAsia" w:ascii="仿宋_GB2312" w:hAnsi="宋体" w:eastAsia="仿宋_GB2312" w:cs="宋体"/>
          <w:kern w:val="0"/>
          <w:sz w:val="32"/>
          <w:szCs w:val="32"/>
          <w:lang w:val="en-US" w:eastAsia="zh-CN"/>
        </w:rPr>
        <w:t>229753.32万</w:t>
      </w:r>
      <w:r>
        <w:rPr>
          <w:rFonts w:hint="eastAsia" w:ascii="仿宋_GB2312" w:hAnsi="宋体" w:eastAsia="仿宋_GB2312" w:cs="宋体"/>
          <w:kern w:val="0"/>
          <w:sz w:val="32"/>
          <w:szCs w:val="32"/>
        </w:rPr>
        <w:t>元，分别比2013年末增长</w:t>
      </w:r>
      <w:r>
        <w:rPr>
          <w:rFonts w:hint="eastAsia" w:ascii="仿宋_GB2312" w:hAnsi="宋体" w:eastAsia="仿宋_GB2312" w:cs="宋体"/>
          <w:kern w:val="0"/>
          <w:sz w:val="32"/>
          <w:szCs w:val="32"/>
          <w:lang w:val="en-US" w:eastAsia="zh-CN"/>
        </w:rPr>
        <w:t>431.11</w:t>
      </w:r>
      <w:r>
        <w:rPr>
          <w:rFonts w:hint="eastAsia" w:ascii="仿宋_GB2312" w:hAnsi="宋体" w:eastAsia="仿宋_GB2312" w:cs="宋体"/>
          <w:kern w:val="0"/>
          <w:sz w:val="32"/>
          <w:szCs w:val="32"/>
        </w:rPr>
        <w:t>%和</w:t>
      </w:r>
      <w:r>
        <w:rPr>
          <w:rFonts w:hint="eastAsia" w:ascii="仿宋_GB2312" w:hAnsi="宋体" w:eastAsia="仿宋_GB2312" w:cs="宋体"/>
          <w:kern w:val="0"/>
          <w:sz w:val="32"/>
          <w:szCs w:val="32"/>
          <w:lang w:val="en-US" w:eastAsia="zh-CN"/>
        </w:rPr>
        <w:t>308.63</w:t>
      </w:r>
      <w:r>
        <w:rPr>
          <w:rFonts w:hint="eastAsia" w:ascii="仿宋_GB2312" w:hAnsi="宋体" w:eastAsia="仿宋_GB2312" w:cs="宋体"/>
          <w:kern w:val="0"/>
          <w:sz w:val="32"/>
          <w:szCs w:val="32"/>
        </w:rPr>
        <w:t>%。负债合计</w:t>
      </w:r>
      <w:r>
        <w:rPr>
          <w:rFonts w:hint="eastAsia" w:ascii="仿宋_GB2312" w:hAnsi="宋体" w:eastAsia="仿宋_GB2312" w:cs="宋体"/>
          <w:kern w:val="0"/>
          <w:sz w:val="32"/>
          <w:szCs w:val="32"/>
          <w:lang w:val="en-US" w:eastAsia="zh-CN"/>
        </w:rPr>
        <w:t>92375.38万</w:t>
      </w:r>
      <w:r>
        <w:rPr>
          <w:rFonts w:hint="eastAsia" w:ascii="仿宋_GB2312" w:hAnsi="宋体" w:eastAsia="仿宋_GB2312" w:cs="宋体"/>
          <w:kern w:val="0"/>
          <w:sz w:val="32"/>
          <w:szCs w:val="32"/>
        </w:rPr>
        <w:t>元。全年实现营业收入</w:t>
      </w:r>
      <w:r>
        <w:rPr>
          <w:rFonts w:hint="eastAsia" w:ascii="仿宋_GB2312" w:hAnsi="宋体" w:eastAsia="仿宋_GB2312" w:cs="宋体"/>
          <w:kern w:val="0"/>
          <w:sz w:val="32"/>
          <w:szCs w:val="32"/>
          <w:lang w:val="en-US" w:eastAsia="zh-CN"/>
        </w:rPr>
        <w:t>37235.80万</w:t>
      </w:r>
      <w:r>
        <w:rPr>
          <w:rFonts w:hint="eastAsia" w:ascii="仿宋_GB2312" w:hAnsi="宋体" w:eastAsia="仿宋_GB2312" w:cs="宋体"/>
          <w:kern w:val="0"/>
          <w:sz w:val="32"/>
          <w:szCs w:val="32"/>
        </w:rPr>
        <w:t>元。（详见表4-1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w:t>
      </w:r>
    </w:p>
    <w:tbl>
      <w:tblPr>
        <w:tblStyle w:val="3"/>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4"/>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eastAsia="宋体"/>
                <w:b/>
                <w:bCs/>
                <w:kern w:val="0"/>
                <w:sz w:val="24"/>
                <w:szCs w:val="24"/>
              </w:rPr>
            </w:pPr>
            <w:r>
              <w:rPr>
                <w:rFonts w:hint="eastAsia" w:ascii="宋体" w:hAnsi="宋体" w:eastAsia="宋体"/>
                <w:b/>
                <w:bCs/>
                <w:kern w:val="0"/>
                <w:sz w:val="24"/>
                <w:szCs w:val="24"/>
              </w:rPr>
              <w:t>表4-1</w:t>
            </w:r>
            <w:r>
              <w:rPr>
                <w:rFonts w:hint="eastAsia" w:ascii="宋体" w:hAnsi="宋体" w:eastAsia="宋体"/>
                <w:b/>
                <w:bCs/>
                <w:kern w:val="0"/>
                <w:sz w:val="24"/>
                <w:szCs w:val="24"/>
                <w:lang w:val="en-US" w:eastAsia="zh-CN"/>
              </w:rPr>
              <w:t>7</w:t>
            </w:r>
            <w:r>
              <w:rPr>
                <w:rFonts w:hint="eastAsia" w:ascii="宋体" w:hAnsi="宋体" w:eastAsia="宋体"/>
                <w:b/>
                <w:bCs/>
                <w:kern w:val="0"/>
                <w:sz w:val="24"/>
                <w:szCs w:val="24"/>
              </w:rPr>
              <w:t xml:space="preserve"> 按行业大类分组的租赁和商务服务业企业法人单位主要经济指标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tcBorders>
              <w:top w:val="nil"/>
              <w:left w:val="nil"/>
              <w:bottom w:val="single" w:color="auto" w:sz="4" w:space="0"/>
              <w:right w:val="single" w:color="auto" w:sz="4" w:space="0"/>
            </w:tcBorders>
            <w:vAlign w:val="center"/>
          </w:tcPr>
          <w:p>
            <w:pPr>
              <w:widowControl/>
              <w:spacing w:line="240" w:lineRule="atLeast"/>
              <w:ind w:left="57" w:right="57" w:firstLine="500"/>
              <w:jc w:val="center"/>
              <w:rPr>
                <w:rFonts w:ascii="宋体" w:hAnsi="宋体" w:eastAsia="宋体"/>
                <w:b/>
                <w:bCs/>
                <w:kern w:val="0"/>
                <w:sz w:val="18"/>
                <w:szCs w:val="18"/>
              </w:rPr>
            </w:pPr>
            <w:r>
              <w:rPr>
                <w:rFonts w:hint="eastAsia" w:ascii="宋体" w:hAnsi="宋体" w:eastAsia="宋体"/>
                <w:b/>
                <w:bCs/>
                <w:kern w:val="0"/>
              </w:rPr>
              <w:t>　</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资产总计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540" w:type="dxa"/>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负债合计</w:t>
            </w:r>
          </w:p>
          <w:p>
            <w:pPr>
              <w:widowControl/>
              <w:spacing w:line="240" w:lineRule="atLeast"/>
              <w:ind w:left="57" w:right="57"/>
              <w:jc w:val="center"/>
              <w:rPr>
                <w:rFonts w:ascii="宋体" w:hAnsi="宋体" w:eastAsia="宋体"/>
                <w:b/>
                <w:bCs/>
                <w:kern w:val="0"/>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c>
          <w:tcPr>
            <w:tcW w:w="1540" w:type="dxa"/>
            <w:tcBorders>
              <w:top w:val="nil"/>
              <w:left w:val="nil"/>
              <w:bottom w:val="single" w:color="auto" w:sz="4" w:space="0"/>
              <w:right w:val="nil"/>
            </w:tcBorders>
            <w:vAlign w:val="center"/>
          </w:tcPr>
          <w:p>
            <w:pPr>
              <w:widowControl/>
              <w:spacing w:line="240" w:lineRule="atLeast"/>
              <w:ind w:left="57" w:right="57"/>
              <w:jc w:val="center"/>
              <w:rPr>
                <w:rFonts w:ascii="宋体" w:hAnsi="宋体" w:eastAsia="宋体"/>
                <w:b/>
                <w:bCs/>
                <w:kern w:val="0"/>
              </w:rPr>
            </w:pPr>
            <w:r>
              <w:rPr>
                <w:rFonts w:hint="eastAsia" w:ascii="宋体" w:hAnsi="宋体" w:eastAsia="宋体"/>
                <w:b/>
                <w:bCs/>
                <w:kern w:val="0"/>
              </w:rPr>
              <w:t>营业收入</w:t>
            </w:r>
          </w:p>
          <w:p>
            <w:pPr>
              <w:widowControl/>
              <w:spacing w:line="240" w:lineRule="atLeast"/>
              <w:ind w:left="57" w:right="57"/>
              <w:jc w:val="center"/>
              <w:rPr>
                <w:rFonts w:ascii="宋体" w:hAnsi="宋体" w:eastAsia="宋体"/>
                <w:b/>
                <w:bCs/>
                <w:kern w:val="0"/>
                <w:sz w:val="18"/>
                <w:szCs w:val="18"/>
              </w:rPr>
            </w:pPr>
            <w:r>
              <w:rPr>
                <w:rFonts w:hint="eastAsia" w:ascii="宋体" w:hAnsi="宋体" w:eastAsia="宋体"/>
                <w:b/>
                <w:bCs/>
                <w:kern w:val="0"/>
              </w:rPr>
              <w:t>（</w:t>
            </w:r>
            <w:r>
              <w:rPr>
                <w:rFonts w:hint="eastAsia" w:ascii="宋体" w:hAnsi="宋体" w:eastAsia="宋体"/>
                <w:b/>
                <w:bCs/>
                <w:kern w:val="0"/>
                <w:lang w:eastAsia="zh-CN"/>
              </w:rPr>
              <w:t>万</w:t>
            </w:r>
            <w:r>
              <w:rPr>
                <w:rFonts w:hint="eastAsia" w:ascii="宋体" w:hAnsi="宋体" w:eastAsia="宋体"/>
                <w:b/>
                <w:bCs/>
                <w:kern w:val="0"/>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eastAsia="宋体"/>
                <w:kern w:val="0"/>
                <w:sz w:val="18"/>
                <w:szCs w:val="18"/>
              </w:rPr>
            </w:pPr>
            <w:r>
              <w:rPr>
                <w:rFonts w:hint="eastAsia" w:ascii="宋体" w:hAnsi="宋体" w:eastAsia="宋体"/>
                <w:b/>
                <w:bCs/>
                <w:kern w:val="0"/>
              </w:rPr>
              <w:t>合 计</w:t>
            </w:r>
          </w:p>
        </w:tc>
        <w:tc>
          <w:tcPr>
            <w:tcW w:w="1540" w:type="dxa"/>
            <w:tcBorders>
              <w:top w:val="single" w:color="auto" w:sz="4" w:space="0"/>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263031.56</w:t>
            </w:r>
          </w:p>
        </w:tc>
        <w:tc>
          <w:tcPr>
            <w:tcW w:w="1540" w:type="dxa"/>
            <w:tcBorders>
              <w:top w:val="single" w:color="auto" w:sz="4" w:space="0"/>
              <w:left w:val="nil"/>
              <w:bottom w:val="nil"/>
              <w:right w:val="single" w:color="auto" w:sz="4" w:space="0"/>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92375.38</w:t>
            </w:r>
          </w:p>
        </w:tc>
        <w:tc>
          <w:tcPr>
            <w:tcW w:w="1540" w:type="dxa"/>
            <w:tcBorders>
              <w:top w:val="single" w:color="auto" w:sz="4" w:space="0"/>
              <w:left w:val="nil"/>
              <w:bottom w:val="nil"/>
              <w:right w:val="nil"/>
            </w:tcBorders>
            <w:vAlign w:val="top"/>
          </w:tcPr>
          <w:p>
            <w:pPr>
              <w:widowControl/>
              <w:spacing w:line="240" w:lineRule="atLeast"/>
              <w:ind w:left="57" w:right="57"/>
              <w:jc w:val="right"/>
              <w:rPr>
                <w:rFonts w:hint="default" w:ascii="宋体" w:hAnsi="宋体" w:eastAsia="宋体"/>
                <w:b/>
                <w:bCs/>
                <w:kern w:val="0"/>
                <w:sz w:val="18"/>
                <w:szCs w:val="18"/>
                <w:lang w:val="en-US" w:eastAsia="zh-CN"/>
              </w:rPr>
            </w:pPr>
            <w:r>
              <w:rPr>
                <w:rFonts w:hint="eastAsia" w:ascii="宋体" w:hAnsi="宋体" w:eastAsia="宋体"/>
                <w:b/>
                <w:bCs/>
                <w:kern w:val="0"/>
                <w:sz w:val="18"/>
                <w:szCs w:val="18"/>
                <w:lang w:val="en-US" w:eastAsia="zh-CN"/>
              </w:rPr>
              <w:t>37235.80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nil"/>
              <w:right w:val="single" w:color="auto" w:sz="4" w:space="0"/>
            </w:tcBorders>
            <w:vAlign w:val="center"/>
          </w:tcPr>
          <w:p>
            <w:r>
              <w:rPr>
                <w:rFonts w:hint="eastAsia" w:ascii="宋体" w:hAnsi="宋体" w:eastAsia="宋体"/>
                <w:kern w:val="0"/>
              </w:rPr>
              <w:t xml:space="preserve"> 租赁业</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33278.25</w:t>
            </w:r>
          </w:p>
        </w:tc>
        <w:tc>
          <w:tcPr>
            <w:tcW w:w="1540" w:type="dxa"/>
            <w:tcBorders>
              <w:top w:val="nil"/>
              <w:left w:val="nil"/>
              <w:bottom w:val="nil"/>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9799.42</w:t>
            </w:r>
          </w:p>
        </w:tc>
        <w:tc>
          <w:tcPr>
            <w:tcW w:w="1540" w:type="dxa"/>
            <w:tcBorders>
              <w:top w:val="nil"/>
              <w:left w:val="nil"/>
              <w:bottom w:val="nil"/>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16542.14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686" w:type="dxa"/>
            <w:tcBorders>
              <w:top w:val="nil"/>
              <w:left w:val="nil"/>
              <w:bottom w:val="single" w:color="auto" w:sz="12" w:space="0"/>
              <w:right w:val="single" w:color="auto" w:sz="4" w:space="0"/>
            </w:tcBorders>
            <w:vAlign w:val="top"/>
          </w:tcPr>
          <w:p>
            <w:r>
              <w:rPr>
                <w:rFonts w:hint="eastAsia" w:ascii="宋体" w:hAnsi="宋体" w:eastAsia="宋体"/>
              </w:rPr>
              <w:t>　</w:t>
            </w:r>
            <w:r>
              <w:rPr>
                <w:rFonts w:hint="eastAsia" w:ascii="宋体" w:hAnsi="宋体" w:eastAsia="宋体"/>
                <w:kern w:val="0"/>
              </w:rPr>
              <w:t>商务服务业</w:t>
            </w:r>
          </w:p>
        </w:tc>
        <w:tc>
          <w:tcPr>
            <w:tcW w:w="1540" w:type="dxa"/>
            <w:tcBorders>
              <w:top w:val="nil"/>
              <w:left w:val="nil"/>
              <w:bottom w:val="single" w:color="auto" w:sz="12" w:space="0"/>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229753.32</w:t>
            </w:r>
          </w:p>
        </w:tc>
        <w:tc>
          <w:tcPr>
            <w:tcW w:w="1540" w:type="dxa"/>
            <w:tcBorders>
              <w:top w:val="nil"/>
              <w:left w:val="nil"/>
              <w:bottom w:val="single" w:color="auto" w:sz="12" w:space="0"/>
              <w:right w:val="single" w:color="auto" w:sz="4" w:space="0"/>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82575.97</w:t>
            </w:r>
          </w:p>
        </w:tc>
        <w:tc>
          <w:tcPr>
            <w:tcW w:w="1540" w:type="dxa"/>
            <w:tcBorders>
              <w:top w:val="nil"/>
              <w:left w:val="nil"/>
              <w:bottom w:val="single" w:color="auto" w:sz="12" w:space="0"/>
              <w:right w:val="nil"/>
            </w:tcBorders>
            <w:vAlign w:val="top"/>
          </w:tcPr>
          <w:p>
            <w:pPr>
              <w:widowControl/>
              <w:spacing w:line="240" w:lineRule="atLeast"/>
              <w:ind w:left="57" w:right="57"/>
              <w:jc w:val="right"/>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20693.66</w:t>
            </w:r>
          </w:p>
        </w:tc>
      </w:tr>
    </w:tbl>
    <w:p>
      <w:pPr>
        <w:widowControl/>
        <w:spacing w:line="600" w:lineRule="exact"/>
        <w:ind w:firstLine="480" w:firstLineChars="200"/>
        <w:rPr>
          <w:kern w:val="0"/>
          <w:sz w:val="24"/>
          <w:szCs w:val="24"/>
        </w:rPr>
      </w:pPr>
      <w:r>
        <w:rPr>
          <w:rFonts w:hint="eastAsia"/>
          <w:kern w:val="0"/>
          <w:sz w:val="24"/>
          <w:szCs w:val="24"/>
        </w:rPr>
        <w:t xml:space="preserve"> </w:t>
      </w:r>
    </w:p>
    <w:p>
      <w:pPr>
        <w:widowControl/>
        <w:spacing w:line="600" w:lineRule="exact"/>
        <w:ind w:firstLine="560" w:firstLineChars="200"/>
        <w:rPr>
          <w:rFonts w:hint="eastAsia"/>
          <w:kern w:val="0"/>
          <w:sz w:val="28"/>
          <w:szCs w:val="28"/>
        </w:rPr>
      </w:pPr>
    </w:p>
    <w:p>
      <w:pPr>
        <w:widowControl/>
        <w:spacing w:line="600" w:lineRule="exact"/>
        <w:ind w:firstLine="560" w:firstLineChars="200"/>
        <w:rPr>
          <w:rFonts w:hint="eastAsia"/>
          <w:kern w:val="0"/>
          <w:sz w:val="28"/>
          <w:szCs w:val="28"/>
        </w:rPr>
      </w:pPr>
    </w:p>
    <w:p>
      <w:pPr>
        <w:widowControl/>
        <w:spacing w:line="600" w:lineRule="exact"/>
        <w:ind w:firstLine="560" w:firstLineChars="200"/>
        <w:rPr>
          <w:rFonts w:hint="eastAsia"/>
          <w:kern w:val="0"/>
          <w:sz w:val="28"/>
          <w:szCs w:val="28"/>
        </w:rPr>
      </w:pPr>
    </w:p>
    <w:p>
      <w:pPr>
        <w:widowControl/>
        <w:spacing w:line="600" w:lineRule="exact"/>
        <w:ind w:firstLine="560" w:firstLineChars="200"/>
        <w:rPr>
          <w:rFonts w:hint="eastAsia"/>
          <w:kern w:val="0"/>
          <w:sz w:val="28"/>
          <w:szCs w:val="28"/>
        </w:rPr>
      </w:pPr>
      <w:r>
        <w:rPr>
          <w:rFonts w:hint="eastAsia"/>
          <w:kern w:val="0"/>
          <w:sz w:val="28"/>
          <w:szCs w:val="28"/>
        </w:rPr>
        <w:t>注释：</w:t>
      </w:r>
    </w:p>
    <w:p>
      <w:pPr>
        <w:widowControl/>
        <w:spacing w:line="600" w:lineRule="exact"/>
        <w:ind w:firstLine="560" w:firstLineChars="200"/>
        <w:rPr>
          <w:rFonts w:hint="eastAsia" w:ascii="仿宋_GB2312" w:hAnsi="宋体" w:eastAsia="仿宋_GB2312" w:cs="宋体"/>
          <w:kern w:val="0"/>
          <w:sz w:val="28"/>
          <w:szCs w:val="28"/>
        </w:rPr>
      </w:pPr>
      <w:r>
        <w:rPr>
          <w:rFonts w:ascii="仿宋_GB2312" w:hAnsi="宋体" w:eastAsia="仿宋_GB2312" w:cs="宋体"/>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widowControl/>
        <w:spacing w:line="600" w:lineRule="exact"/>
        <w:ind w:firstLine="560" w:firstLineChars="200"/>
      </w:pPr>
      <w:r>
        <w:rPr>
          <w:rFonts w:ascii="仿宋_GB2312" w:hAnsi="宋体" w:eastAsia="仿宋_GB2312" w:cs="宋体"/>
          <w:kern w:val="0"/>
          <w:sz w:val="28"/>
          <w:szCs w:val="28"/>
        </w:rPr>
        <w:t>[2]表中的合计数和部分计算数据因小数取舍而产生的误差，均未作机械调整。</w:t>
      </w:r>
    </w:p>
    <w:sectPr>
      <w:footerReference r:id="rId3" w:type="default"/>
      <w:pgSz w:w="11906" w:h="16838"/>
      <w:pgMar w:top="1871" w:right="1588" w:bottom="1701" w:left="158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10122D"/>
    <w:rsid w:val="1FC86FF7"/>
    <w:rsid w:val="2A0E3256"/>
    <w:rsid w:val="2C71539B"/>
    <w:rsid w:val="392A3277"/>
    <w:rsid w:val="3B411A42"/>
    <w:rsid w:val="42CA1EFD"/>
    <w:rsid w:val="47344E8E"/>
    <w:rsid w:val="4E8F473B"/>
    <w:rsid w:val="5CE06003"/>
    <w:rsid w:val="5F135EC7"/>
    <w:rsid w:val="645A7A67"/>
    <w:rsid w:val="6FFC7F8E"/>
    <w:rsid w:val="7D7302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小刚</dc:creator>
  <cp:lastModifiedBy>乐乐</cp:lastModifiedBy>
  <cp:lastPrinted>2020-05-26T03:50:00Z</cp:lastPrinted>
  <dcterms:modified xsi:type="dcterms:W3CDTF">2020-06-02T07:14:18Z</dcterms:modified>
  <dc:title>沁水县第四次全国经济普查公报（第四号）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