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沁水县</w:t>
      </w:r>
      <w:r>
        <w:rPr>
          <w:rFonts w:hint="eastAsia" w:ascii="黑体" w:hAnsi="黑体" w:eastAsia="黑体" w:cs="黑体"/>
          <w:color w:val="000000" w:themeColor="text1"/>
          <w:sz w:val="44"/>
          <w:szCs w:val="44"/>
          <w:lang w:eastAsia="zh-CN"/>
          <w14:textFill>
            <w14:solidFill>
              <w14:schemeClr w14:val="tx1"/>
            </w14:solidFill>
          </w14:textFill>
        </w:rPr>
        <w:t>城镇管道煤层气终端销售价格</w:t>
      </w:r>
      <w:r>
        <w:rPr>
          <w:rFonts w:hint="eastAsia" w:ascii="黑体" w:hAnsi="黑体" w:eastAsia="黑体" w:cs="黑体"/>
          <w:color w:val="000000" w:themeColor="text1"/>
          <w:sz w:val="44"/>
          <w:szCs w:val="44"/>
          <w14:textFill>
            <w14:solidFill>
              <w14:schemeClr w14:val="tx1"/>
            </w14:solidFill>
          </w14:textFill>
        </w:rPr>
        <w:t>和</w:t>
      </w:r>
    </w:p>
    <w:p>
      <w:pPr>
        <w:pStyle w:val="4"/>
        <w:shd w:val="clear" w:color="auto" w:fill="FFFFFF"/>
        <w:spacing w:before="0" w:beforeAutospacing="0" w:after="0" w:afterAutospacing="0"/>
        <w:jc w:val="center"/>
        <w:rPr>
          <w:rFonts w:hint="eastAsia"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lang w:eastAsia="zh-CN"/>
          <w14:textFill>
            <w14:solidFill>
              <w14:schemeClr w14:val="tx1"/>
            </w14:solidFill>
          </w14:textFill>
        </w:rPr>
        <w:t>建立</w:t>
      </w:r>
      <w:r>
        <w:rPr>
          <w:rFonts w:hint="eastAsia" w:ascii="黑体" w:hAnsi="黑体" w:eastAsia="黑体" w:cs="黑体"/>
          <w:color w:val="000000" w:themeColor="text1"/>
          <w:sz w:val="44"/>
          <w:szCs w:val="44"/>
          <w14:textFill>
            <w14:solidFill>
              <w14:schemeClr w14:val="tx1"/>
            </w14:solidFill>
          </w14:textFill>
        </w:rPr>
        <w:t>居民</w:t>
      </w:r>
      <w:r>
        <w:rPr>
          <w:rFonts w:hint="eastAsia" w:ascii="黑体" w:hAnsi="黑体" w:eastAsia="黑体" w:cs="黑体"/>
          <w:color w:val="000000" w:themeColor="text1"/>
          <w:sz w:val="44"/>
          <w:szCs w:val="44"/>
          <w:lang w:eastAsia="zh-CN"/>
          <w14:textFill>
            <w14:solidFill>
              <w14:schemeClr w14:val="tx1"/>
            </w14:solidFill>
          </w14:textFill>
        </w:rPr>
        <w:t>用气</w:t>
      </w:r>
      <w:r>
        <w:rPr>
          <w:rFonts w:hint="eastAsia" w:ascii="黑体" w:hAnsi="黑体" w:eastAsia="黑体" w:cs="黑体"/>
          <w:color w:val="000000" w:themeColor="text1"/>
          <w:sz w:val="44"/>
          <w:szCs w:val="44"/>
          <w14:textFill>
            <w14:solidFill>
              <w14:schemeClr w14:val="tx1"/>
            </w14:solidFill>
          </w14:textFill>
        </w:rPr>
        <w:t>阶梯价格</w:t>
      </w:r>
      <w:r>
        <w:rPr>
          <w:rFonts w:hint="eastAsia" w:ascii="黑体" w:hAnsi="黑体" w:eastAsia="黑体" w:cs="黑体"/>
          <w:color w:val="000000" w:themeColor="text1"/>
          <w:sz w:val="44"/>
          <w:szCs w:val="44"/>
          <w:lang w:eastAsia="zh-CN"/>
          <w14:textFill>
            <w14:solidFill>
              <w14:schemeClr w14:val="tx1"/>
            </w14:solidFill>
          </w14:textFill>
        </w:rPr>
        <w:t>制度</w:t>
      </w:r>
      <w:r>
        <w:rPr>
          <w:rFonts w:hint="eastAsia" w:ascii="黑体" w:hAnsi="黑体" w:eastAsia="黑体" w:cs="黑体"/>
          <w:color w:val="000000" w:themeColor="text1"/>
          <w:sz w:val="44"/>
          <w:szCs w:val="44"/>
          <w14:textFill>
            <w14:solidFill>
              <w14:schemeClr w14:val="tx1"/>
            </w14:solidFill>
          </w14:textFill>
        </w:rPr>
        <w:t>实施方案</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jc w:val="center"/>
        <w:textAlignment w:val="auto"/>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（草案）</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贯彻落实国家和省供气价格决策部署，根据山西省发展和改革委员会《天然气管道运输和配气价格管理办法（试行）》（晋发改商品发〔2018〕404号）、山西省发展和改革委员会《关于进一步加强天然气配气价格和终端销售价格管理降低企业用气成本的通知》（晋发改商品发〔2020〕284号）、</w:t>
      </w:r>
      <w:r>
        <w:rPr>
          <w:rFonts w:hint="eastAsia" w:ascii="仿宋" w:hAnsi="仿宋" w:eastAsia="仿宋" w:cs="仿宋"/>
          <w:color w:val="000000" w:themeColor="text1"/>
          <w:sz w:val="32"/>
          <w:szCs w:val="32"/>
          <w:lang w:val="en-US" w:eastAsia="zh-CN"/>
          <w14:textFill>
            <w14:solidFill>
              <w14:schemeClr w14:val="tx1"/>
            </w14:solidFill>
          </w14:textFill>
        </w:rPr>
        <w:t>晋城市发展和改革委员会</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关于建立健全管道煤层气价格机制的通知</w:t>
      </w:r>
      <w:r>
        <w:rPr>
          <w:rFonts w:hint="eastAsia" w:ascii="仿宋" w:hAnsi="仿宋" w:eastAsia="仿宋" w:cs="仿宋"/>
          <w:color w:val="000000" w:themeColor="text1"/>
          <w:sz w:val="32"/>
          <w:szCs w:val="32"/>
          <w14:textFill>
            <w14:solidFill>
              <w14:schemeClr w14:val="tx1"/>
            </w14:solidFill>
          </w14:textFill>
        </w:rPr>
        <w:t>》《沁水县城镇燃气领域2025年度工作要点》精神，我局在成本监审</w:t>
      </w:r>
      <w:r>
        <w:rPr>
          <w:rFonts w:hint="eastAsia" w:ascii="仿宋" w:hAnsi="仿宋" w:eastAsia="仿宋" w:cs="仿宋"/>
          <w:color w:val="000000" w:themeColor="text1"/>
          <w:sz w:val="32"/>
          <w:szCs w:val="32"/>
          <w:lang w:eastAsia="zh-CN"/>
          <w14:textFill>
            <w14:solidFill>
              <w14:schemeClr w14:val="tx1"/>
            </w14:solidFill>
          </w14:textFill>
        </w:rPr>
        <w:t>、价格听证</w:t>
      </w:r>
      <w:r>
        <w:rPr>
          <w:rFonts w:hint="eastAsia" w:ascii="仿宋" w:hAnsi="仿宋" w:eastAsia="仿宋" w:cs="仿宋"/>
          <w:color w:val="000000" w:themeColor="text1"/>
          <w:sz w:val="32"/>
          <w:szCs w:val="32"/>
          <w14:textFill>
            <w14:solidFill>
              <w14:schemeClr w14:val="tx1"/>
            </w14:solidFill>
          </w14:textFill>
        </w:rPr>
        <w:t>及价格调查的基础上，结合我县实际，制定本实施方案。</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w:t>
      </w:r>
      <w:r>
        <w:rPr>
          <w:rFonts w:hint="eastAsia" w:ascii="黑体" w:hAnsi="黑体" w:eastAsia="黑体" w:cs="黑体"/>
          <w:color w:val="000000" w:themeColor="text1"/>
          <w:sz w:val="32"/>
          <w:szCs w:val="32"/>
          <w:lang w:eastAsia="zh-CN"/>
          <w14:textFill>
            <w14:solidFill>
              <w14:schemeClr w14:val="tx1"/>
            </w14:solidFill>
          </w14:textFill>
        </w:rPr>
        <w:t>实施</w:t>
      </w:r>
      <w:r>
        <w:rPr>
          <w:rFonts w:hint="eastAsia" w:ascii="黑体" w:hAnsi="黑体" w:eastAsia="黑体" w:cs="黑体"/>
          <w:color w:val="000000" w:themeColor="text1"/>
          <w:sz w:val="32"/>
          <w:szCs w:val="32"/>
          <w14:textFill>
            <w14:solidFill>
              <w14:schemeClr w14:val="tx1"/>
            </w14:solidFill>
          </w14:textFill>
        </w:rPr>
        <w:t>范围</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沁水县范围内通过管道用气的燃气终端用户（不含瓦斯气用户）</w:t>
      </w:r>
      <w:r>
        <w:rPr>
          <w:rFonts w:hint="eastAsia" w:ascii="仿宋" w:hAnsi="仿宋" w:eastAsia="仿宋" w:cs="仿宋"/>
          <w:color w:val="000000" w:themeColor="text1"/>
          <w:sz w:val="32"/>
          <w:szCs w:val="32"/>
          <w14:textFill>
            <w14:solidFill>
              <w14:schemeClr w14:val="tx1"/>
            </w14:solidFill>
          </w14:textFill>
        </w:rPr>
        <w:t>。</w:t>
      </w:r>
    </w:p>
    <w:p>
      <w:pPr>
        <w:pStyle w:val="4"/>
        <w:keepNext w:val="0"/>
        <w:keepLines w:val="0"/>
        <w:pageBreakBefore w:val="0"/>
        <w:numPr>
          <w:ilvl w:val="0"/>
          <w:numId w:val="1"/>
        </w:numPr>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分类用气适用范围</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（一）居民用气。</w:t>
      </w:r>
      <w:r>
        <w:rPr>
          <w:rFonts w:hint="eastAsia" w:ascii="仿宋" w:hAnsi="仿宋" w:eastAsia="仿宋" w:cs="仿宋"/>
          <w:b w:val="0"/>
          <w:bCs w:val="0"/>
          <w:color w:val="000000" w:themeColor="text1"/>
          <w:sz w:val="32"/>
          <w:szCs w:val="32"/>
          <w:lang w:eastAsia="zh-CN"/>
          <w14:textFill>
            <w14:solidFill>
              <w14:schemeClr w14:val="tx1"/>
            </w14:solidFill>
          </w14:textFill>
        </w:rPr>
        <w:t>居民生活用气（含居民独立采暖）。</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（二）执行居民气价的非居民用户。</w:t>
      </w:r>
      <w:r>
        <w:rPr>
          <w:rFonts w:hint="eastAsia" w:ascii="仿宋" w:hAnsi="仿宋" w:eastAsia="仿宋" w:cs="仿宋"/>
          <w:b w:val="0"/>
          <w:bCs w:val="0"/>
          <w:color w:val="000000" w:themeColor="text1"/>
          <w:sz w:val="32"/>
          <w:szCs w:val="32"/>
          <w:lang w:eastAsia="zh-CN"/>
          <w14:textFill>
            <w14:solidFill>
              <w14:schemeClr w14:val="tx1"/>
            </w14:solidFill>
          </w14:textFill>
        </w:rPr>
        <w:t>各类学校教学场所（含幼儿园）和学生生活用气，</w:t>
      </w:r>
      <w:r>
        <w:rPr>
          <w:rFonts w:hint="eastAsia" w:ascii="仿宋" w:hAnsi="仿宋" w:eastAsia="仿宋" w:cs="仿宋"/>
          <w:b w:val="0"/>
          <w:bCs w:val="0"/>
          <w:color w:val="000000" w:themeColor="text1"/>
          <w:sz w:val="32"/>
          <w:szCs w:val="32"/>
          <w:lang w:val="en-US" w:eastAsia="zh-CN"/>
          <w14:textFill>
            <w14:solidFill>
              <w14:schemeClr w14:val="tx1"/>
            </w14:solidFill>
          </w14:textFill>
        </w:rPr>
        <w:t>3岁以下婴幼儿照护托育机构、养老敬老等社会福利机构生活用气，五大宗教团体和宗教活动场所非经营性用气，社区居民委员会和村民委员会工作场所及服务设施等用气，部队生活用气。</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（三）非居民用气。</w:t>
      </w:r>
      <w:r>
        <w:rPr>
          <w:rFonts w:hint="eastAsia" w:ascii="仿宋" w:hAnsi="仿宋" w:eastAsia="仿宋" w:cs="仿宋"/>
          <w:b w:val="0"/>
          <w:bCs w:val="0"/>
          <w:color w:val="000000" w:themeColor="text1"/>
          <w:sz w:val="32"/>
          <w:szCs w:val="32"/>
          <w:lang w:val="en-US" w:eastAsia="zh-CN"/>
          <w14:textFill>
            <w14:solidFill>
              <w14:schemeClr w14:val="tx1"/>
            </w14:solidFill>
          </w14:textFill>
        </w:rPr>
        <w:t>除上述规定用气范围外的其他商业服务业用户用气。</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三、管道煤层气终端销售价格</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w:t>
      </w:r>
      <w:r>
        <w:rPr>
          <w:rFonts w:hint="eastAsia" w:ascii="楷体" w:hAnsi="楷体" w:eastAsia="楷体" w:cs="楷体"/>
          <w:b/>
          <w:bCs/>
          <w:color w:val="000000" w:themeColor="text1"/>
          <w:sz w:val="32"/>
          <w:szCs w:val="32"/>
          <w:lang w:eastAsia="zh-CN"/>
          <w14:textFill>
            <w14:solidFill>
              <w14:schemeClr w14:val="tx1"/>
            </w14:solidFill>
          </w14:textFill>
        </w:rPr>
        <w:t>居民用气价格</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居民用气终端销售价格为</w:t>
      </w:r>
      <w:r>
        <w:rPr>
          <w:rFonts w:hint="eastAsia" w:ascii="仿宋" w:hAnsi="仿宋" w:eastAsia="仿宋" w:cs="仿宋"/>
          <w:color w:val="000000" w:themeColor="text1"/>
          <w:sz w:val="32"/>
          <w:szCs w:val="32"/>
          <w:lang w:val="en-US" w:eastAsia="zh-CN"/>
          <w14:textFill>
            <w14:solidFill>
              <w14:schemeClr w14:val="tx1"/>
            </w14:solidFill>
          </w14:textFill>
        </w:rPr>
        <w:t>1.40元/立方米，即居民用气阶梯价格制度的基础气价。对低于基础气价的按原价格继续执行，但同步实施阶梯气价。</w:t>
      </w:r>
    </w:p>
    <w:p>
      <w:pPr>
        <w:pStyle w:val="4"/>
        <w:keepNext w:val="0"/>
        <w:keepLines w:val="0"/>
        <w:pageBreakBefore w:val="0"/>
        <w:numPr>
          <w:ilvl w:val="0"/>
          <w:numId w:val="0"/>
        </w:numPr>
        <w:shd w:val="clear" w:color="auto" w:fill="FFFFFF"/>
        <w:kinsoku/>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SA"/>
          <w14:textFill>
            <w14:solidFill>
              <w14:schemeClr w14:val="tx1"/>
            </w14:solidFill>
          </w14:textFill>
        </w:rPr>
        <w:t>（二）</w:t>
      </w:r>
      <w:r>
        <w:rPr>
          <w:rFonts w:hint="eastAsia" w:ascii="楷体" w:hAnsi="楷体" w:eastAsia="楷体" w:cs="楷体"/>
          <w:b/>
          <w:bCs/>
          <w:color w:val="000000" w:themeColor="text1"/>
          <w:sz w:val="32"/>
          <w:szCs w:val="32"/>
          <w:lang w:eastAsia="zh-CN"/>
          <w14:textFill>
            <w14:solidFill>
              <w14:schemeClr w14:val="tx1"/>
            </w14:solidFill>
          </w14:textFill>
        </w:rPr>
        <w:t>执行居民气价的非居民用气价格</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eastAsia="zh-CN"/>
          <w14:textFill>
            <w14:solidFill>
              <w14:schemeClr w14:val="tx1"/>
            </w14:solidFill>
          </w14:textFill>
        </w:rPr>
        <w:t>执行居民气价的非居民用户用气终端销售价格为</w:t>
      </w:r>
      <w:r>
        <w:rPr>
          <w:rFonts w:hint="eastAsia" w:ascii="仿宋" w:hAnsi="仿宋" w:eastAsia="仿宋" w:cs="仿宋"/>
          <w:b w:val="0"/>
          <w:bCs w:val="0"/>
          <w:color w:val="000000" w:themeColor="text1"/>
          <w:sz w:val="32"/>
          <w:szCs w:val="32"/>
          <w:lang w:val="en-US" w:eastAsia="zh-CN"/>
          <w14:textFill>
            <w14:solidFill>
              <w14:schemeClr w14:val="tx1"/>
            </w14:solidFill>
          </w14:textFill>
        </w:rPr>
        <w:t>1.54元/立方米。</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楷体" w:hAnsi="楷体" w:eastAsia="楷体" w:cs="楷体"/>
          <w:b/>
          <w:bCs/>
          <w:color w:val="000000" w:themeColor="text1"/>
          <w:sz w:val="32"/>
          <w:szCs w:val="32"/>
          <w:lang w:eastAsia="zh-CN"/>
          <w14:textFill>
            <w14:solidFill>
              <w14:schemeClr w14:val="tx1"/>
            </w14:solidFill>
          </w14:textFill>
        </w:rPr>
      </w:pPr>
      <w:r>
        <w:rPr>
          <w:rFonts w:hint="eastAsia" w:ascii="楷体" w:hAnsi="楷体" w:eastAsia="楷体" w:cs="楷体"/>
          <w:b/>
          <w:bCs/>
          <w:color w:val="000000" w:themeColor="text1"/>
          <w:sz w:val="32"/>
          <w:szCs w:val="32"/>
          <w:lang w:eastAsia="zh-CN"/>
          <w14:textFill>
            <w14:solidFill>
              <w14:schemeClr w14:val="tx1"/>
            </w14:solidFill>
          </w14:textFill>
        </w:rPr>
        <w:t>非居民用气价格</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华舜公司非居民用气终端销售价格为</w:t>
      </w:r>
      <w:r>
        <w:rPr>
          <w:rFonts w:hint="eastAsia" w:ascii="仿宋" w:hAnsi="仿宋" w:eastAsia="仿宋" w:cs="仿宋"/>
          <w:color w:val="000000" w:themeColor="text1"/>
          <w:sz w:val="32"/>
          <w:szCs w:val="32"/>
          <w:lang w:val="en-US" w:eastAsia="zh-CN"/>
          <w14:textFill>
            <w14:solidFill>
              <w14:schemeClr w14:val="tx1"/>
            </w14:solidFill>
          </w14:textFill>
        </w:rPr>
        <w:t>2.00元/立方米，非居民中</w:t>
      </w:r>
      <w:r>
        <w:rPr>
          <w:rFonts w:hint="eastAsia" w:ascii="仿宋" w:hAnsi="仿宋" w:eastAsia="仿宋" w:cs="楷体"/>
          <w:color w:val="000000" w:themeColor="text1"/>
          <w:kern w:val="0"/>
          <w:sz w:val="32"/>
          <w:szCs w:val="32"/>
          <w:lang w:eastAsia="zh-CN"/>
          <w14:textFill>
            <w14:solidFill>
              <w14:schemeClr w14:val="tx1"/>
            </w14:solidFill>
          </w14:textFill>
        </w:rPr>
        <w:t>工业、农业等直输管道企业</w:t>
      </w:r>
      <w:r>
        <w:rPr>
          <w:rFonts w:hint="eastAsia" w:ascii="仿宋" w:hAnsi="仿宋" w:eastAsia="仿宋" w:cs="楷体"/>
          <w:color w:val="000000" w:themeColor="text1"/>
          <w:kern w:val="0"/>
          <w:sz w:val="32"/>
          <w:szCs w:val="32"/>
          <w:lang w:val="en-US" w:eastAsia="zh-CN"/>
          <w14:textFill>
            <w14:solidFill>
              <w14:schemeClr w14:val="tx1"/>
            </w14:solidFill>
          </w14:textFill>
        </w:rPr>
        <w:t>用气价格</w:t>
      </w:r>
      <w:bookmarkStart w:id="0" w:name="_GoBack"/>
      <w:bookmarkEnd w:id="0"/>
      <w:r>
        <w:rPr>
          <w:rFonts w:hint="eastAsia" w:ascii="仿宋" w:hAnsi="仿宋" w:eastAsia="仿宋" w:cs="楷体"/>
          <w:color w:val="000000" w:themeColor="text1"/>
          <w:kern w:val="0"/>
          <w:sz w:val="32"/>
          <w:szCs w:val="32"/>
          <w:lang w:eastAsia="zh-CN"/>
          <w14:textFill>
            <w14:solidFill>
              <w14:schemeClr w14:val="tx1"/>
            </w14:solidFill>
          </w14:textFill>
        </w:rPr>
        <w:t>由双方协商制定。沁源公司非居民用户终端销售价格执行现行价格不变。</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、建立居民用气阶梯价格制度</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楷体" w:hAnsi="楷体" w:eastAsia="楷体" w:cs="楷体"/>
          <w:color w:val="000000" w:themeColor="text1"/>
          <w:sz w:val="32"/>
          <w:szCs w:val="32"/>
          <w:lang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（一）居民炊事、生活热水用气分档气量和气价</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居民生活用气阶梯气量设置为三档，阶梯气量按每户</w:t>
      </w:r>
      <w:r>
        <w:rPr>
          <w:rFonts w:hint="eastAsia" w:ascii="仿宋" w:hAnsi="仿宋" w:eastAsia="仿宋" w:cs="仿宋"/>
          <w:color w:val="000000" w:themeColor="text1"/>
          <w:sz w:val="32"/>
          <w:szCs w:val="32"/>
          <w:lang w:val="en-US" w:eastAsia="zh-CN"/>
          <w14:textFill>
            <w14:solidFill>
              <w14:schemeClr w14:val="tx1"/>
            </w14:solidFill>
          </w14:textFill>
        </w:rPr>
        <w:t>4人设定基数。气价实行超额累进加价。</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第一档用气量为每户每月32立方米（含32立方米）以下，执行居民用气终端销售价格，即1.40元/立方米</w:t>
      </w:r>
      <w:r>
        <w:rPr>
          <w:rFonts w:hint="eastAsia" w:ascii="仿宋" w:hAnsi="仿宋" w:eastAsia="仿宋" w:cs="楷体"/>
          <w:color w:val="000000" w:themeColor="text1"/>
          <w:kern w:val="0"/>
          <w:sz w:val="32"/>
          <w:szCs w:val="32"/>
          <w14:textFill>
            <w14:solidFill>
              <w14:schemeClr w14:val="tx1"/>
            </w14:solidFill>
          </w14:textFill>
        </w:rPr>
        <w:t>；</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楷体"/>
          <w:color w:val="000000" w:themeColor="text1"/>
          <w:kern w:val="0"/>
          <w:sz w:val="32"/>
          <w:szCs w:val="32"/>
          <w:lang w:eastAsia="zh-CN"/>
          <w14:textFill>
            <w14:solidFill>
              <w14:schemeClr w14:val="tx1"/>
            </w14:solidFill>
          </w14:textFill>
        </w:rPr>
        <w:t>第二档</w:t>
      </w:r>
      <w:r>
        <w:rPr>
          <w:rFonts w:hint="eastAsia" w:ascii="仿宋" w:hAnsi="仿宋" w:eastAsia="仿宋" w:cs="仿宋"/>
          <w:color w:val="000000" w:themeColor="text1"/>
          <w:sz w:val="32"/>
          <w:szCs w:val="32"/>
          <w:lang w:val="en-US" w:eastAsia="zh-CN"/>
          <w14:textFill>
            <w14:solidFill>
              <w14:schemeClr w14:val="tx1"/>
            </w14:solidFill>
          </w14:textFill>
        </w:rPr>
        <w:t>用气量为每户每月32—45立方米（含45立方米），气价执行1.68元/立方米</w:t>
      </w:r>
      <w:r>
        <w:rPr>
          <w:rFonts w:hint="eastAsia" w:ascii="仿宋" w:hAnsi="仿宋" w:eastAsia="仿宋" w:cs="楷体"/>
          <w:color w:val="000000" w:themeColor="text1"/>
          <w:kern w:val="0"/>
          <w:sz w:val="32"/>
          <w:szCs w:val="32"/>
          <w14:textFill>
            <w14:solidFill>
              <w14:schemeClr w14:val="tx1"/>
            </w14:solidFill>
          </w14:textFill>
        </w:rPr>
        <w:t>；</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楷体"/>
          <w:color w:val="000000" w:themeColor="text1"/>
          <w:kern w:val="0"/>
          <w:sz w:val="32"/>
          <w:szCs w:val="32"/>
          <w:lang w:eastAsia="zh-CN"/>
          <w14:textFill>
            <w14:solidFill>
              <w14:schemeClr w14:val="tx1"/>
            </w14:solidFill>
          </w14:textFill>
        </w:rPr>
        <w:t>第三档</w:t>
      </w:r>
      <w:r>
        <w:rPr>
          <w:rFonts w:hint="eastAsia" w:ascii="仿宋" w:hAnsi="仿宋" w:eastAsia="仿宋" w:cs="仿宋"/>
          <w:color w:val="000000" w:themeColor="text1"/>
          <w:sz w:val="32"/>
          <w:szCs w:val="32"/>
          <w:lang w:val="en-US" w:eastAsia="zh-CN"/>
          <w14:textFill>
            <w14:solidFill>
              <w14:schemeClr w14:val="tx1"/>
            </w14:solidFill>
          </w14:textFill>
        </w:rPr>
        <w:t>用气量为每户每月45立方米以上，气价执行2.10元/立方米。</w:t>
      </w:r>
    </w:p>
    <w:p>
      <w:pPr>
        <w:pStyle w:val="4"/>
        <w:keepNext w:val="0"/>
        <w:keepLines w:val="0"/>
        <w:pageBreakBefore w:val="0"/>
        <w:numPr>
          <w:ilvl w:val="0"/>
          <w:numId w:val="0"/>
        </w:numPr>
        <w:shd w:val="clear" w:color="auto" w:fill="FFFFFF"/>
        <w:kinsoku/>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楷体" w:hAnsi="楷体" w:eastAsia="楷体" w:cs="楷体"/>
          <w:b/>
          <w:bCs/>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SA"/>
          <w14:textFill>
            <w14:solidFill>
              <w14:schemeClr w14:val="tx1"/>
            </w14:solidFill>
          </w14:textFill>
        </w:rPr>
        <w:t>（二）</w:t>
      </w:r>
      <w:r>
        <w:rPr>
          <w:rFonts w:hint="eastAsia" w:ascii="楷体" w:hAnsi="楷体" w:eastAsia="楷体" w:cs="楷体"/>
          <w:b/>
          <w:bCs/>
          <w:color w:val="000000" w:themeColor="text1"/>
          <w:kern w:val="0"/>
          <w:sz w:val="32"/>
          <w:szCs w:val="32"/>
          <w:lang w:eastAsia="zh-CN"/>
          <w14:textFill>
            <w14:solidFill>
              <w14:schemeClr w14:val="tx1"/>
            </w14:solidFill>
          </w14:textFill>
        </w:rPr>
        <w:t>居民独立采暖用气量气价</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仿宋" w:hAnsi="仿宋" w:eastAsia="仿宋" w:cs="楷体"/>
          <w:color w:val="000000" w:themeColor="text1"/>
          <w:kern w:val="0"/>
          <w:sz w:val="32"/>
          <w:szCs w:val="32"/>
          <w:lang w:val="en-US" w:eastAsia="zh-CN"/>
          <w14:textFill>
            <w14:solidFill>
              <w14:schemeClr w14:val="tx1"/>
            </w14:solidFill>
          </w14:textFill>
        </w:rPr>
      </w:pPr>
      <w:r>
        <w:rPr>
          <w:rFonts w:hint="eastAsia" w:ascii="仿宋" w:hAnsi="仿宋" w:eastAsia="仿宋" w:cs="楷体"/>
          <w:color w:val="000000" w:themeColor="text1"/>
          <w:kern w:val="0"/>
          <w:sz w:val="32"/>
          <w:szCs w:val="32"/>
          <w:lang w:eastAsia="zh-CN"/>
          <w14:textFill>
            <w14:solidFill>
              <w14:schemeClr w14:val="tx1"/>
            </w14:solidFill>
          </w14:textFill>
        </w:rPr>
        <w:t>居民独立采暖气量设置为二档，气价实行超额累进加价。</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第一档用气量每户每供暖季为2400立方米（含2400立方米）以下，执行气价为1.40元/立方米</w:t>
      </w:r>
      <w:r>
        <w:rPr>
          <w:rFonts w:hint="eastAsia" w:ascii="仿宋" w:hAnsi="仿宋" w:eastAsia="仿宋" w:cs="楷体"/>
          <w:color w:val="000000" w:themeColor="text1"/>
          <w:kern w:val="0"/>
          <w:sz w:val="32"/>
          <w:szCs w:val="32"/>
          <w14:textFill>
            <w14:solidFill>
              <w14:schemeClr w14:val="tx1"/>
            </w14:solidFill>
          </w14:textFill>
        </w:rPr>
        <w:t>；</w:t>
      </w:r>
    </w:p>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楷体"/>
          <w:color w:val="000000" w:themeColor="text1"/>
          <w:kern w:val="0"/>
          <w:sz w:val="32"/>
          <w:szCs w:val="32"/>
          <w:lang w:eastAsia="zh-CN"/>
          <w14:textFill>
            <w14:solidFill>
              <w14:schemeClr w14:val="tx1"/>
            </w14:solidFill>
          </w14:textFill>
        </w:rPr>
        <w:t>第二档</w:t>
      </w:r>
      <w:r>
        <w:rPr>
          <w:rFonts w:hint="eastAsia" w:ascii="仿宋" w:hAnsi="仿宋" w:eastAsia="仿宋" w:cs="仿宋"/>
          <w:color w:val="000000" w:themeColor="text1"/>
          <w:sz w:val="32"/>
          <w:szCs w:val="32"/>
          <w:lang w:val="en-US" w:eastAsia="zh-CN"/>
          <w14:textFill>
            <w14:solidFill>
              <w14:schemeClr w14:val="tx1"/>
            </w14:solidFill>
          </w14:textFill>
        </w:rPr>
        <w:t>用气量每户每供暖季为2400立方米以上，气价执行气价1.68元/立方米。</w:t>
      </w:r>
    </w:p>
    <w:tbl>
      <w:tblPr>
        <w:tblStyle w:val="6"/>
        <w:tblpPr w:leftFromText="180" w:rightFromText="180" w:vertAnchor="text" w:horzAnchor="page" w:tblpXSpec="center" w:tblpY="781"/>
        <w:tblOverlap w:val="never"/>
        <w:tblW w:w="89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2640"/>
        <w:gridCol w:w="2235"/>
        <w:gridCol w:w="2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9" w:hRule="atLeast"/>
          <w:jc w:val="center"/>
        </w:trPr>
        <w:tc>
          <w:tcPr>
            <w:tcW w:w="1432" w:type="dxa"/>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600" w:lineRule="exact"/>
              <w:jc w:val="center"/>
              <w:textAlignment w:val="auto"/>
              <w:rPr>
                <w:rFonts w:hint="eastAsia" w:ascii="仿宋" w:hAnsi="仿宋" w:eastAsia="仿宋" w:cs="仿宋"/>
                <w:color w:val="000000" w:themeColor="text1"/>
                <w:kern w:val="2"/>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分档</w:t>
            </w:r>
          </w:p>
        </w:tc>
        <w:tc>
          <w:tcPr>
            <w:tcW w:w="2640" w:type="dxa"/>
            <w:vAlign w:val="center"/>
          </w:tcPr>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居民用户生活用气月用气量</w:t>
            </w:r>
          </w:p>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（立方米）</w:t>
            </w:r>
          </w:p>
        </w:tc>
        <w:tc>
          <w:tcPr>
            <w:tcW w:w="2235" w:type="dxa"/>
            <w:vAlign w:val="center"/>
          </w:tcPr>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居民用户供暖季用气量</w:t>
            </w:r>
          </w:p>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（立方米）</w:t>
            </w:r>
          </w:p>
        </w:tc>
        <w:tc>
          <w:tcPr>
            <w:tcW w:w="2660"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超额累进加价标准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432" w:type="dxa"/>
            <w:shd w:val="clear" w:color="auto" w:fill="auto"/>
            <w:vAlign w:val="center"/>
          </w:tcPr>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第一档</w:t>
            </w:r>
          </w:p>
        </w:tc>
        <w:tc>
          <w:tcPr>
            <w:tcW w:w="2640"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0—32（含32）</w:t>
            </w:r>
          </w:p>
        </w:tc>
        <w:tc>
          <w:tcPr>
            <w:tcW w:w="2235"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0—2400</w:t>
            </w:r>
          </w:p>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（含2400）</w:t>
            </w:r>
          </w:p>
        </w:tc>
        <w:tc>
          <w:tcPr>
            <w:tcW w:w="2660" w:type="dxa"/>
            <w:vAlign w:val="center"/>
          </w:tcPr>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基础气价，执行气价1.40元/立方米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3" w:hRule="atLeast"/>
          <w:jc w:val="center"/>
        </w:trPr>
        <w:tc>
          <w:tcPr>
            <w:tcW w:w="1432" w:type="dxa"/>
            <w:shd w:val="clear" w:color="auto" w:fill="auto"/>
            <w:vAlign w:val="center"/>
          </w:tcPr>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第二档</w:t>
            </w:r>
          </w:p>
        </w:tc>
        <w:tc>
          <w:tcPr>
            <w:tcW w:w="2640"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32—45（含45）</w:t>
            </w:r>
          </w:p>
        </w:tc>
        <w:tc>
          <w:tcPr>
            <w:tcW w:w="2235"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2400以上</w:t>
            </w:r>
          </w:p>
        </w:tc>
        <w:tc>
          <w:tcPr>
            <w:tcW w:w="2660" w:type="dxa"/>
            <w:vAlign w:val="center"/>
          </w:tcPr>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基础气价1.2倍，执行气价1.68元/立方米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2" w:hRule="atLeast"/>
          <w:jc w:val="center"/>
        </w:trPr>
        <w:tc>
          <w:tcPr>
            <w:tcW w:w="1432" w:type="dxa"/>
            <w:shd w:val="clear" w:color="auto" w:fill="auto"/>
            <w:vAlign w:val="center"/>
          </w:tcPr>
          <w:p>
            <w:pPr>
              <w:pStyle w:val="4"/>
              <w:keepNext w:val="0"/>
              <w:keepLines w:val="0"/>
              <w:pageBreakBefore w:val="0"/>
              <w:widowControl/>
              <w:kinsoku/>
              <w:wordWrap w:val="0"/>
              <w:overflowPunct/>
              <w:topLinePunct w:val="0"/>
              <w:autoSpaceDE/>
              <w:autoSpaceDN/>
              <w:bidi w:val="0"/>
              <w:adjustRightInd/>
              <w:snapToGrid/>
              <w:spacing w:before="0" w:beforeAutospacing="0" w:after="0" w:afterAutospacing="0" w:line="600" w:lineRule="exact"/>
              <w:jc w:val="center"/>
              <w:textAlignment w:val="auto"/>
              <w:rPr>
                <w:rFonts w:hint="eastAsia" w:ascii="仿宋" w:hAnsi="仿宋" w:eastAsia="仿宋" w:cs="仿宋"/>
                <w:color w:val="000000" w:themeColor="text1"/>
                <w:kern w:val="0"/>
                <w:sz w:val="30"/>
                <w:szCs w:val="30"/>
                <w:lang w:val="en-US" w:eastAsia="zh-CN" w:bidi="ar-SA"/>
                <w14:textFill>
                  <w14:solidFill>
                    <w14:schemeClr w14:val="tx1"/>
                  </w14:solidFill>
                </w14:textFill>
              </w:rPr>
            </w:pPr>
            <w:r>
              <w:rPr>
                <w:rFonts w:hint="eastAsia" w:ascii="仿宋" w:hAnsi="仿宋" w:eastAsia="仿宋" w:cs="仿宋"/>
                <w:color w:val="000000" w:themeColor="text1"/>
                <w:sz w:val="30"/>
                <w:szCs w:val="30"/>
                <w:lang w:eastAsia="zh-CN"/>
                <w14:textFill>
                  <w14:solidFill>
                    <w14:schemeClr w14:val="tx1"/>
                  </w14:solidFill>
                </w14:textFill>
              </w:rPr>
              <w:t>第三档</w:t>
            </w:r>
          </w:p>
        </w:tc>
        <w:tc>
          <w:tcPr>
            <w:tcW w:w="2640"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45以上</w:t>
            </w:r>
          </w:p>
        </w:tc>
        <w:tc>
          <w:tcPr>
            <w:tcW w:w="2235" w:type="dxa"/>
            <w:vAlign w:val="center"/>
          </w:tcPr>
          <w:p>
            <w:pPr>
              <w:pStyle w:val="4"/>
              <w:keepNext w:val="0"/>
              <w:keepLines w:val="0"/>
              <w:pageBreakBefore w:val="0"/>
              <w:widowControl/>
              <w:kinsoku/>
              <w:overflowPunct/>
              <w:topLinePunct w:val="0"/>
              <w:autoSpaceDE/>
              <w:autoSpaceDN/>
              <w:bidi w:val="0"/>
              <w:adjustRightInd/>
              <w:snapToGrid/>
              <w:spacing w:before="0" w:beforeAutospacing="0" w:after="0" w:afterAutospacing="0" w:line="400" w:lineRule="exact"/>
              <w:jc w:val="center"/>
              <w:textAlignment w:val="auto"/>
              <w:rPr>
                <w:rFonts w:hint="default"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w:t>
            </w:r>
          </w:p>
        </w:tc>
        <w:tc>
          <w:tcPr>
            <w:tcW w:w="2660" w:type="dxa"/>
            <w:vAlign w:val="center"/>
          </w:tcPr>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left"/>
              <w:textAlignment w:val="auto"/>
              <w:rPr>
                <w:rFonts w:hint="eastAsia" w:ascii="仿宋" w:hAnsi="仿宋" w:eastAsia="仿宋" w:cs="仿宋"/>
                <w:color w:val="000000" w:themeColor="text1"/>
                <w:sz w:val="30"/>
                <w:szCs w:val="30"/>
                <w:vertAlign w:val="baseline"/>
                <w:lang w:val="en-US" w:eastAsia="zh-CN"/>
                <w14:textFill>
                  <w14:solidFill>
                    <w14:schemeClr w14:val="tx1"/>
                  </w14:solidFill>
                </w14:textFill>
              </w:rPr>
            </w:pPr>
            <w:r>
              <w:rPr>
                <w:rFonts w:hint="eastAsia" w:ascii="仿宋" w:hAnsi="仿宋" w:eastAsia="仿宋" w:cs="仿宋"/>
                <w:color w:val="000000" w:themeColor="text1"/>
                <w:sz w:val="30"/>
                <w:szCs w:val="30"/>
                <w:vertAlign w:val="baseline"/>
                <w:lang w:val="en-US" w:eastAsia="zh-CN"/>
                <w14:textFill>
                  <w14:solidFill>
                    <w14:schemeClr w14:val="tx1"/>
                  </w14:solidFill>
                </w14:textFill>
              </w:rPr>
              <w:t>基础气价1.5倍，执行气价2.10元/立方米</w:t>
            </w:r>
          </w:p>
        </w:tc>
      </w:tr>
    </w:tbl>
    <w:p>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600" w:lineRule="exact"/>
        <w:jc w:val="center"/>
        <w:textAlignment w:val="auto"/>
        <w:rPr>
          <w:rFonts w:hint="eastAsia" w:ascii="楷体" w:hAnsi="楷体" w:eastAsia="楷体" w:cs="楷体"/>
          <w:b/>
          <w:bCs/>
          <w:color w:val="000000" w:themeColor="text1"/>
          <w:sz w:val="32"/>
          <w:szCs w:val="32"/>
          <w:lang w:val="en-US" w:eastAsia="zh-CN"/>
          <w14:textFill>
            <w14:solidFill>
              <w14:schemeClr w14:val="tx1"/>
            </w14:solidFill>
          </w14:textFill>
        </w:rPr>
      </w:pPr>
      <w:r>
        <w:rPr>
          <w:rFonts w:hint="eastAsia" w:ascii="楷体" w:hAnsi="楷体" w:eastAsia="楷体" w:cs="楷体"/>
          <w:b/>
          <w:bCs/>
          <w:color w:val="000000" w:themeColor="text1"/>
          <w:sz w:val="32"/>
          <w:szCs w:val="32"/>
          <w:lang w:val="en-US" w:eastAsia="zh-CN"/>
          <w14:textFill>
            <w14:solidFill>
              <w14:schemeClr w14:val="tx1"/>
            </w14:solidFill>
          </w14:textFill>
        </w:rPr>
        <w:t>居民阶梯气量及价格分档标准表</w:t>
      </w:r>
    </w:p>
    <w:p>
      <w:pPr>
        <w:pStyle w:val="4"/>
        <w:keepNext w:val="0"/>
        <w:keepLines w:val="0"/>
        <w:pageBreakBefore w:val="0"/>
        <w:numPr>
          <w:ilvl w:val="0"/>
          <w:numId w:val="0"/>
        </w:numPr>
        <w:shd w:val="clear" w:color="auto" w:fill="FFFFFF"/>
        <w:kinsoku/>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楷体" w:hAnsi="楷体" w:eastAsia="楷体" w:cs="楷体"/>
          <w:b/>
          <w:bCs/>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val="en-US" w:eastAsia="zh-CN" w:bidi="ar-SA"/>
          <w14:textFill>
            <w14:solidFill>
              <w14:schemeClr w14:val="tx1"/>
            </w14:solidFill>
          </w14:textFill>
        </w:rPr>
        <w:t>（三）</w:t>
      </w:r>
      <w:r>
        <w:rPr>
          <w:rFonts w:hint="eastAsia" w:ascii="楷体" w:hAnsi="楷体" w:eastAsia="楷体" w:cs="楷体"/>
          <w:b/>
          <w:bCs/>
          <w:color w:val="000000" w:themeColor="text1"/>
          <w:kern w:val="0"/>
          <w:sz w:val="32"/>
          <w:szCs w:val="32"/>
          <w:lang w:eastAsia="zh-CN"/>
          <w14:textFill>
            <w14:solidFill>
              <w14:schemeClr w14:val="tx1"/>
            </w14:solidFill>
          </w14:textFill>
        </w:rPr>
        <w:t>计量缴费周期</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r>
        <w:rPr>
          <w:rFonts w:hint="eastAsia" w:ascii="仿宋" w:hAnsi="仿宋" w:eastAsia="仿宋" w:cs="楷体"/>
          <w:color w:val="000000" w:themeColor="text1"/>
          <w:kern w:val="0"/>
          <w:sz w:val="32"/>
          <w:szCs w:val="32"/>
          <w:lang w:eastAsia="zh-CN"/>
          <w14:textFill>
            <w14:solidFill>
              <w14:schemeClr w14:val="tx1"/>
            </w14:solidFill>
          </w14:textFill>
        </w:rPr>
        <w:t>居民生活用气计价周期为</w:t>
      </w:r>
      <w:r>
        <w:rPr>
          <w:rFonts w:hint="eastAsia" w:ascii="仿宋" w:hAnsi="仿宋" w:eastAsia="仿宋" w:cs="楷体"/>
          <w:color w:val="000000" w:themeColor="text1"/>
          <w:kern w:val="0"/>
          <w:sz w:val="32"/>
          <w:szCs w:val="32"/>
          <w:lang w:val="en-US" w:eastAsia="zh-CN"/>
          <w14:textFill>
            <w14:solidFill>
              <w14:schemeClr w14:val="tx1"/>
            </w14:solidFill>
          </w14:textFill>
        </w:rPr>
        <w:t>1年，独立采暖用气周期为1个供热采暖期。用气量在周期之间不累计，不结转。对变更或注销用气户名的居民用户，变更或注销之日前发生的不满1个计价周期的用气量，按1个计价周期的相应阶梯气量和阶梯价格标准计收气费。变更后的居民用户，从变更之日起按新用户阶梯气量和阶梯价格标准计收气费。</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bidi="ar-SA"/>
          <w14:textFill>
            <w14:solidFill>
              <w14:schemeClr w14:val="tx1"/>
            </w14:solidFill>
          </w14:textFill>
        </w:rPr>
        <w:t>五、</w:t>
      </w:r>
      <w:r>
        <w:rPr>
          <w:rFonts w:hint="eastAsia" w:ascii="黑体" w:hAnsi="黑体" w:eastAsia="黑体" w:cs="黑体"/>
          <w:color w:val="000000" w:themeColor="text1"/>
          <w:kern w:val="0"/>
          <w:sz w:val="32"/>
          <w:szCs w:val="32"/>
          <w:lang w:val="en-US" w:eastAsia="zh-CN"/>
          <w14:textFill>
            <w14:solidFill>
              <w14:schemeClr w14:val="tx1"/>
            </w14:solidFill>
          </w14:textFill>
        </w:rPr>
        <w:t>优惠政策</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（一）</w:t>
      </w:r>
      <w:r>
        <w:rPr>
          <w:rFonts w:hint="eastAsia" w:ascii="仿宋" w:hAnsi="仿宋" w:eastAsia="仿宋" w:cs="楷体"/>
          <w:color w:val="000000" w:themeColor="text1"/>
          <w:kern w:val="0"/>
          <w:sz w:val="32"/>
          <w:szCs w:val="32"/>
          <w14:textFill>
            <w14:solidFill>
              <w14:schemeClr w14:val="tx1"/>
            </w14:solidFill>
          </w14:textFill>
        </w:rPr>
        <w:t>居民</w:t>
      </w:r>
      <w:r>
        <w:rPr>
          <w:rFonts w:hint="eastAsia" w:ascii="仿宋" w:hAnsi="仿宋" w:eastAsia="仿宋" w:cs="楷体"/>
          <w:color w:val="000000" w:themeColor="text1"/>
          <w:kern w:val="0"/>
          <w:sz w:val="32"/>
          <w:szCs w:val="32"/>
          <w:lang w:eastAsia="zh-CN"/>
          <w14:textFill>
            <w14:solidFill>
              <w14:schemeClr w14:val="tx1"/>
            </w14:solidFill>
          </w14:textFill>
        </w:rPr>
        <w:t>用户</w:t>
      </w:r>
      <w:r>
        <w:rPr>
          <w:rFonts w:hint="eastAsia" w:ascii="仿宋" w:hAnsi="仿宋" w:eastAsia="仿宋" w:cs="楷体"/>
          <w:color w:val="000000" w:themeColor="text1"/>
          <w:kern w:val="0"/>
          <w:sz w:val="32"/>
          <w:szCs w:val="32"/>
          <w14:textFill>
            <w14:solidFill>
              <w14:schemeClr w14:val="tx1"/>
            </w14:solidFill>
          </w14:textFill>
        </w:rPr>
        <w:t>原则上以住宅为单位，一个房产证明对应为一个居民户；没有房产证明的，以当地</w:t>
      </w:r>
      <w:r>
        <w:rPr>
          <w:rFonts w:hint="eastAsia" w:ascii="仿宋" w:hAnsi="仿宋" w:eastAsia="仿宋" w:cs="楷体"/>
          <w:color w:val="000000" w:themeColor="text1"/>
          <w:kern w:val="0"/>
          <w:sz w:val="32"/>
          <w:szCs w:val="32"/>
          <w:lang w:eastAsia="zh-CN"/>
          <w14:textFill>
            <w14:solidFill>
              <w14:schemeClr w14:val="tx1"/>
            </w14:solidFill>
          </w14:textFill>
        </w:rPr>
        <w:t>各城燃</w:t>
      </w:r>
      <w:r>
        <w:rPr>
          <w:rFonts w:hint="eastAsia" w:ascii="仿宋" w:hAnsi="仿宋" w:eastAsia="仿宋" w:cs="楷体"/>
          <w:color w:val="000000" w:themeColor="text1"/>
          <w:kern w:val="0"/>
          <w:sz w:val="32"/>
          <w:szCs w:val="32"/>
          <w14:textFill>
            <w14:solidFill>
              <w14:schemeClr w14:val="tx1"/>
            </w14:solidFill>
          </w14:textFill>
        </w:rPr>
        <w:t>企业为居民安装的气表为单位。考虑到家庭人口多用气量大的实际情况，</w:t>
      </w:r>
      <w:r>
        <w:rPr>
          <w:rFonts w:hint="eastAsia" w:ascii="仿宋" w:hAnsi="仿宋" w:eastAsia="仿宋" w:cs="楷体"/>
          <w:bCs/>
          <w:color w:val="000000" w:themeColor="text1"/>
          <w:kern w:val="0"/>
          <w:sz w:val="32"/>
          <w:szCs w:val="32"/>
          <w:lang w:eastAsia="zh-CN"/>
          <w14:textFill>
            <w14:solidFill>
              <w14:schemeClr w14:val="tx1"/>
            </w14:solidFill>
          </w14:textFill>
        </w:rPr>
        <w:t>超出</w:t>
      </w:r>
      <w:r>
        <w:rPr>
          <w:rFonts w:hint="eastAsia" w:ascii="仿宋" w:hAnsi="仿宋" w:eastAsia="仿宋" w:cs="楷体"/>
          <w:bCs/>
          <w:color w:val="000000" w:themeColor="text1"/>
          <w:kern w:val="0"/>
          <w:sz w:val="32"/>
          <w:szCs w:val="32"/>
          <w:lang w:val="en-US" w:eastAsia="zh-CN"/>
          <w14:textFill>
            <w14:solidFill>
              <w14:schemeClr w14:val="tx1"/>
            </w14:solidFill>
          </w14:textFill>
        </w:rPr>
        <w:t>4口人的</w:t>
      </w:r>
      <w:r>
        <w:rPr>
          <w:rFonts w:hint="eastAsia" w:ascii="仿宋" w:hAnsi="仿宋" w:eastAsia="仿宋" w:cs="楷体"/>
          <w:bCs/>
          <w:color w:val="000000" w:themeColor="text1"/>
          <w:kern w:val="0"/>
          <w:sz w:val="32"/>
          <w:szCs w:val="32"/>
          <w14:textFill>
            <w14:solidFill>
              <w14:schemeClr w14:val="tx1"/>
            </w14:solidFill>
          </w14:textFill>
        </w:rPr>
        <w:t>居民家庭，</w:t>
      </w:r>
      <w:r>
        <w:rPr>
          <w:rFonts w:hint="eastAsia" w:ascii="仿宋" w:hAnsi="仿宋" w:eastAsia="仿宋" w:cs="楷体"/>
          <w:color w:val="000000" w:themeColor="text1"/>
          <w:kern w:val="0"/>
          <w:sz w:val="32"/>
          <w:szCs w:val="32"/>
          <w14:textFill>
            <w14:solidFill>
              <w14:schemeClr w14:val="tx1"/>
            </w14:solidFill>
          </w14:textFill>
        </w:rPr>
        <w:t>可持</w:t>
      </w:r>
      <w:r>
        <w:rPr>
          <w:rFonts w:hint="eastAsia" w:ascii="仿宋" w:hAnsi="仿宋" w:eastAsia="仿宋" w:cs="楷体"/>
          <w:color w:val="000000" w:themeColor="text1"/>
          <w:kern w:val="0"/>
          <w:sz w:val="32"/>
          <w:szCs w:val="32"/>
          <w:lang w:eastAsia="zh-CN"/>
          <w14:textFill>
            <w14:solidFill>
              <w14:schemeClr w14:val="tx1"/>
            </w14:solidFill>
          </w14:textFill>
        </w:rPr>
        <w:t>房产证、</w:t>
      </w:r>
      <w:r>
        <w:rPr>
          <w:rFonts w:hint="eastAsia" w:ascii="仿宋" w:hAnsi="仿宋" w:eastAsia="仿宋" w:cs="楷体"/>
          <w:color w:val="000000" w:themeColor="text1"/>
          <w:kern w:val="0"/>
          <w:sz w:val="32"/>
          <w:szCs w:val="32"/>
          <w14:textFill>
            <w14:solidFill>
              <w14:schemeClr w14:val="tx1"/>
            </w14:solidFill>
          </w14:textFill>
        </w:rPr>
        <w:t>户口本到</w:t>
      </w:r>
      <w:r>
        <w:rPr>
          <w:rFonts w:hint="eastAsia" w:ascii="仿宋" w:hAnsi="仿宋" w:eastAsia="仿宋" w:cs="楷体"/>
          <w:color w:val="000000" w:themeColor="text1"/>
          <w:kern w:val="0"/>
          <w:sz w:val="32"/>
          <w:szCs w:val="32"/>
          <w:lang w:eastAsia="zh-CN"/>
          <w14:textFill>
            <w14:solidFill>
              <w14:schemeClr w14:val="tx1"/>
            </w14:solidFill>
          </w14:textFill>
        </w:rPr>
        <w:t>各城燃企业营业网点</w:t>
      </w:r>
      <w:r>
        <w:rPr>
          <w:rFonts w:hint="eastAsia" w:ascii="仿宋" w:hAnsi="仿宋" w:eastAsia="仿宋" w:cs="楷体"/>
          <w:color w:val="000000" w:themeColor="text1"/>
          <w:kern w:val="0"/>
          <w:sz w:val="32"/>
          <w:szCs w:val="32"/>
          <w14:textFill>
            <w14:solidFill>
              <w14:schemeClr w14:val="tx1"/>
            </w14:solidFill>
          </w14:textFill>
        </w:rPr>
        <w:t>申报，</w:t>
      </w:r>
      <w:r>
        <w:rPr>
          <w:rFonts w:hint="eastAsia" w:ascii="仿宋" w:hAnsi="仿宋" w:eastAsia="仿宋" w:cs="楷体"/>
          <w:color w:val="000000" w:themeColor="text1"/>
          <w:kern w:val="0"/>
          <w:sz w:val="32"/>
          <w:szCs w:val="32"/>
          <w:lang w:eastAsia="zh-CN"/>
          <w14:textFill>
            <w14:solidFill>
              <w14:schemeClr w14:val="tx1"/>
            </w14:solidFill>
          </w14:textFill>
        </w:rPr>
        <w:t>经核实确认后，</w:t>
      </w:r>
      <w:r>
        <w:rPr>
          <w:rFonts w:hint="eastAsia" w:ascii="仿宋" w:hAnsi="仿宋" w:eastAsia="仿宋" w:cs="楷体"/>
          <w:color w:val="000000" w:themeColor="text1"/>
          <w:kern w:val="0"/>
          <w:sz w:val="32"/>
          <w:szCs w:val="32"/>
          <w14:textFill>
            <w14:solidFill>
              <w14:schemeClr w14:val="tx1"/>
            </w14:solidFill>
          </w14:textFill>
        </w:rPr>
        <w:t>每增加1人可申请一、二档</w:t>
      </w:r>
      <w:r>
        <w:rPr>
          <w:rFonts w:hint="eastAsia" w:ascii="仿宋" w:hAnsi="仿宋" w:eastAsia="仿宋" w:cs="楷体"/>
          <w:color w:val="000000" w:themeColor="text1"/>
          <w:kern w:val="0"/>
          <w:sz w:val="32"/>
          <w:szCs w:val="32"/>
          <w:lang w:eastAsia="zh-CN"/>
          <w14:textFill>
            <w14:solidFill>
              <w14:schemeClr w14:val="tx1"/>
            </w14:solidFill>
          </w14:textFill>
        </w:rPr>
        <w:t>每月各增加</w:t>
      </w:r>
      <w:r>
        <w:rPr>
          <w:rFonts w:hint="eastAsia" w:ascii="仿宋" w:hAnsi="仿宋" w:eastAsia="仿宋" w:cs="楷体"/>
          <w:color w:val="000000" w:themeColor="text1"/>
          <w:kern w:val="0"/>
          <w:sz w:val="32"/>
          <w:szCs w:val="32"/>
          <w:lang w:val="en-US" w:eastAsia="zh-CN"/>
          <w14:textFill>
            <w14:solidFill>
              <w14:schemeClr w14:val="tx1"/>
            </w14:solidFill>
          </w14:textFill>
        </w:rPr>
        <w:t>8</w:t>
      </w:r>
      <w:r>
        <w:rPr>
          <w:rFonts w:hint="eastAsia" w:ascii="仿宋" w:hAnsi="仿宋" w:eastAsia="仿宋" w:cs="楷体"/>
          <w:color w:val="000000" w:themeColor="text1"/>
          <w:kern w:val="0"/>
          <w:sz w:val="32"/>
          <w:szCs w:val="32"/>
          <w14:textFill>
            <w14:solidFill>
              <w14:schemeClr w14:val="tx1"/>
            </w14:solidFill>
          </w14:textFill>
        </w:rPr>
        <w:t>立方米气量基数。</w:t>
      </w:r>
    </w:p>
    <w:p>
      <w:pPr>
        <w:keepNext w:val="0"/>
        <w:keepLines w:val="0"/>
        <w:pageBreakBefore w:val="0"/>
        <w:kinsoku/>
        <w:overflowPunct/>
        <w:topLinePunct w:val="0"/>
        <w:autoSpaceDE/>
        <w:autoSpaceDN/>
        <w:bidi w:val="0"/>
        <w:adjustRightInd/>
        <w:snapToGrid/>
        <w:spacing w:line="600" w:lineRule="exact"/>
        <w:ind w:firstLine="640" w:firstLineChars="200"/>
        <w:textAlignment w:val="auto"/>
        <w:rPr>
          <w:rFonts w:ascii="仿宋" w:hAnsi="仿宋" w:eastAsia="仿宋" w:cs="楷体"/>
          <w:color w:val="000000" w:themeColor="text1"/>
          <w:kern w:val="0"/>
          <w:sz w:val="32"/>
          <w:szCs w:val="32"/>
          <w14:textFill>
            <w14:solidFill>
              <w14:schemeClr w14:val="tx1"/>
            </w14:solidFill>
          </w14:textFill>
        </w:rPr>
      </w:pPr>
      <w:r>
        <w:rPr>
          <w:rFonts w:hint="eastAsia" w:ascii="仿宋" w:hAnsi="仿宋" w:eastAsia="仿宋" w:cs="楷体"/>
          <w:b w:val="0"/>
          <w:bCs w:val="0"/>
          <w:color w:val="000000" w:themeColor="text1"/>
          <w:kern w:val="0"/>
          <w:sz w:val="32"/>
          <w:szCs w:val="32"/>
          <w14:textFill>
            <w14:solidFill>
              <w14:schemeClr w14:val="tx1"/>
            </w14:solidFill>
          </w14:textFill>
        </w:rPr>
        <w:t>（</w:t>
      </w:r>
      <w:r>
        <w:rPr>
          <w:rFonts w:hint="eastAsia" w:ascii="仿宋" w:hAnsi="仿宋" w:eastAsia="仿宋" w:cs="楷体"/>
          <w:b w:val="0"/>
          <w:bCs w:val="0"/>
          <w:color w:val="000000" w:themeColor="text1"/>
          <w:kern w:val="0"/>
          <w:sz w:val="32"/>
          <w:szCs w:val="32"/>
          <w:lang w:eastAsia="zh-CN"/>
          <w14:textFill>
            <w14:solidFill>
              <w14:schemeClr w14:val="tx1"/>
            </w14:solidFill>
          </w14:textFill>
        </w:rPr>
        <w:t>二</w:t>
      </w:r>
      <w:r>
        <w:rPr>
          <w:rFonts w:hint="eastAsia" w:ascii="仿宋" w:hAnsi="仿宋" w:eastAsia="仿宋" w:cs="楷体"/>
          <w:b w:val="0"/>
          <w:bCs w:val="0"/>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14:textFill>
            <w14:solidFill>
              <w14:schemeClr w14:val="tx1"/>
            </w14:solidFill>
          </w14:textFill>
        </w:rPr>
        <w:t>对低保</w:t>
      </w:r>
      <w:r>
        <w:rPr>
          <w:rFonts w:hint="eastAsia" w:ascii="仿宋" w:hAnsi="仿宋" w:eastAsia="仿宋" w:cs="楷体"/>
          <w:color w:val="000000" w:themeColor="text1"/>
          <w:kern w:val="0"/>
          <w:sz w:val="32"/>
          <w:szCs w:val="32"/>
          <w:lang w:eastAsia="zh-CN"/>
          <w14:textFill>
            <w14:solidFill>
              <w14:schemeClr w14:val="tx1"/>
            </w14:solidFill>
          </w14:textFill>
        </w:rPr>
        <w:t>人群</w:t>
      </w:r>
      <w:r>
        <w:rPr>
          <w:rFonts w:hint="eastAsia" w:ascii="仿宋" w:hAnsi="仿宋" w:eastAsia="仿宋" w:cs="楷体"/>
          <w:color w:val="000000" w:themeColor="text1"/>
          <w:kern w:val="0"/>
          <w:sz w:val="32"/>
          <w:szCs w:val="32"/>
          <w14:textFill>
            <w14:solidFill>
              <w14:schemeClr w14:val="tx1"/>
            </w14:solidFill>
          </w14:textFill>
        </w:rPr>
        <w:t>、特困</w:t>
      </w:r>
      <w:r>
        <w:rPr>
          <w:rFonts w:hint="eastAsia" w:ascii="仿宋" w:hAnsi="仿宋" w:eastAsia="仿宋" w:cs="楷体"/>
          <w:color w:val="000000" w:themeColor="text1"/>
          <w:kern w:val="0"/>
          <w:sz w:val="32"/>
          <w:szCs w:val="32"/>
          <w:lang w:eastAsia="zh-CN"/>
          <w14:textFill>
            <w14:solidFill>
              <w14:schemeClr w14:val="tx1"/>
            </w14:solidFill>
          </w14:textFill>
        </w:rPr>
        <w:t>人群家庭凭民政部门核发的有效证明，经各城燃企业核实后，</w:t>
      </w:r>
      <w:r>
        <w:rPr>
          <w:rFonts w:hint="eastAsia" w:ascii="仿宋" w:hAnsi="仿宋" w:eastAsia="仿宋" w:cs="楷体"/>
          <w:color w:val="000000" w:themeColor="text1"/>
          <w:kern w:val="0"/>
          <w:sz w:val="32"/>
          <w:szCs w:val="32"/>
          <w14:textFill>
            <w14:solidFill>
              <w14:schemeClr w14:val="tx1"/>
            </w14:solidFill>
          </w14:textFill>
        </w:rPr>
        <w:t>不实行</w:t>
      </w:r>
      <w:r>
        <w:rPr>
          <w:rFonts w:hint="eastAsia" w:ascii="仿宋" w:hAnsi="仿宋" w:eastAsia="仿宋" w:cs="楷体"/>
          <w:color w:val="000000" w:themeColor="text1"/>
          <w:kern w:val="0"/>
          <w:sz w:val="32"/>
          <w:szCs w:val="32"/>
          <w:lang w:eastAsia="zh-CN"/>
          <w14:textFill>
            <w14:solidFill>
              <w14:schemeClr w14:val="tx1"/>
            </w14:solidFill>
          </w14:textFill>
        </w:rPr>
        <w:t>居民用气</w:t>
      </w:r>
      <w:r>
        <w:rPr>
          <w:rFonts w:hint="eastAsia" w:ascii="仿宋" w:hAnsi="仿宋" w:eastAsia="仿宋" w:cs="楷体"/>
          <w:color w:val="000000" w:themeColor="text1"/>
          <w:kern w:val="0"/>
          <w:sz w:val="32"/>
          <w:szCs w:val="32"/>
          <w14:textFill>
            <w14:solidFill>
              <w14:schemeClr w14:val="tx1"/>
            </w14:solidFill>
          </w14:textFill>
        </w:rPr>
        <w:t>阶梯</w:t>
      </w:r>
      <w:r>
        <w:rPr>
          <w:rFonts w:hint="eastAsia" w:ascii="仿宋" w:hAnsi="仿宋" w:eastAsia="仿宋" w:cs="楷体"/>
          <w:color w:val="000000" w:themeColor="text1"/>
          <w:kern w:val="0"/>
          <w:sz w:val="32"/>
          <w:szCs w:val="32"/>
          <w:lang w:eastAsia="zh-CN"/>
          <w14:textFill>
            <w14:solidFill>
              <w14:schemeClr w14:val="tx1"/>
            </w14:solidFill>
          </w14:textFill>
        </w:rPr>
        <w:t>价格制度</w:t>
      </w:r>
      <w:r>
        <w:rPr>
          <w:rFonts w:hint="eastAsia" w:ascii="仿宋" w:hAnsi="仿宋" w:eastAsia="仿宋" w:cs="楷体"/>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lang w:eastAsia="zh-CN"/>
          <w14:textFill>
            <w14:solidFill>
              <w14:schemeClr w14:val="tx1"/>
            </w14:solidFill>
          </w14:textFill>
        </w:rPr>
        <w:t>供气价格按居民用气管道煤层气终端销售价格执行，并在此基础上每户每月免费使用煤层气</w:t>
      </w:r>
      <w:r>
        <w:rPr>
          <w:rFonts w:hint="eastAsia" w:ascii="仿宋" w:hAnsi="仿宋" w:eastAsia="仿宋" w:cs="楷体"/>
          <w:color w:val="000000" w:themeColor="text1"/>
          <w:kern w:val="0"/>
          <w:sz w:val="32"/>
          <w:szCs w:val="32"/>
          <w:lang w:val="en-US" w:eastAsia="zh-CN"/>
          <w14:textFill>
            <w14:solidFill>
              <w14:schemeClr w14:val="tx1"/>
            </w14:solidFill>
          </w14:textFill>
        </w:rPr>
        <w:t>3立方米。</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六、相关要求</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楷体"/>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val="en-US" w:eastAsia="zh-CN"/>
          <w14:textFill>
            <w14:solidFill>
              <w14:schemeClr w14:val="tx1"/>
            </w14:solidFill>
          </w14:textFill>
        </w:rPr>
        <w:t>（一）建立动态调整机制。</w:t>
      </w:r>
      <w:r>
        <w:rPr>
          <w:rFonts w:hint="eastAsia" w:ascii="仿宋" w:hAnsi="仿宋" w:eastAsia="仿宋" w:cs="仿宋"/>
          <w:b w:val="0"/>
          <w:bCs w:val="0"/>
          <w:color w:val="000000" w:themeColor="text1"/>
          <w:kern w:val="0"/>
          <w:sz w:val="32"/>
          <w:szCs w:val="32"/>
          <w:lang w:val="en-US" w:eastAsia="zh-CN"/>
          <w14:textFill>
            <w14:solidFill>
              <w14:schemeClr w14:val="tx1"/>
            </w14:solidFill>
          </w14:textFill>
        </w:rPr>
        <w:t>县发展改革和科技局将会同相关部门根据县区经济社会发展、居民生活水平提高、居民生活用气变化等实际情况，适时调整各分档用气量和气价</w:t>
      </w:r>
      <w:r>
        <w:rPr>
          <w:rFonts w:hint="eastAsia" w:ascii="仿宋" w:hAnsi="仿宋" w:eastAsia="仿宋" w:cs="仿宋"/>
          <w:b w:val="0"/>
          <w:bCs w:val="0"/>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lang w:eastAsia="zh-CN"/>
          <w14:textFill>
            <w14:solidFill>
              <w14:schemeClr w14:val="tx1"/>
            </w14:solidFill>
          </w14:textFill>
        </w:rPr>
        <w:t>在调整居民用气终端销售价格时，同步调整居民用气阶梯价格。</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楷体"/>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（二）提高企业服务水平。</w:t>
      </w:r>
      <w:r>
        <w:rPr>
          <w:rFonts w:hint="eastAsia" w:ascii="仿宋" w:hAnsi="仿宋" w:eastAsia="仿宋" w:cs="楷体"/>
          <w:color w:val="000000" w:themeColor="text1"/>
          <w:kern w:val="0"/>
          <w:sz w:val="32"/>
          <w:szCs w:val="32"/>
          <w:lang w:eastAsia="zh-CN"/>
          <w14:textFill>
            <w14:solidFill>
              <w14:schemeClr w14:val="tx1"/>
            </w14:solidFill>
          </w14:textFill>
        </w:rPr>
        <w:t>各城燃企业在行业主管部门指导下制定具体实施细则，做好抄表计量和用户跟踪服务工作，确保平稳实施</w:t>
      </w:r>
      <w:r>
        <w:rPr>
          <w:rFonts w:hint="eastAsia" w:ascii="仿宋" w:hAnsi="仿宋" w:eastAsia="仿宋" w:cs="楷体"/>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lang w:eastAsia="zh-CN"/>
          <w14:textFill>
            <w14:solidFill>
              <w14:schemeClr w14:val="tx1"/>
            </w14:solidFill>
          </w14:textFill>
        </w:rPr>
        <w:t>进一步提高服务意识、服务质量，定期发布居民用气情况</w:t>
      </w:r>
      <w:r>
        <w:rPr>
          <w:rFonts w:hint="eastAsia" w:ascii="仿宋" w:hAnsi="仿宋" w:eastAsia="仿宋" w:cs="楷体"/>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lang w:eastAsia="zh-CN"/>
          <w14:textFill>
            <w14:solidFill>
              <w14:schemeClr w14:val="tx1"/>
            </w14:solidFill>
          </w14:textFill>
        </w:rPr>
        <w:t>完善对外服务热线系统，落实安全巡检制度，及时解决用户反映集中的实际问题，保障居民用气安全。</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楷体"/>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（三）规范燃气企业价格行为。</w:t>
      </w:r>
      <w:r>
        <w:rPr>
          <w:rFonts w:hint="eastAsia" w:ascii="仿宋" w:hAnsi="仿宋" w:eastAsia="仿宋" w:cs="楷体"/>
          <w:color w:val="000000" w:themeColor="text1"/>
          <w:kern w:val="0"/>
          <w:sz w:val="32"/>
          <w:szCs w:val="32"/>
          <w:lang w:eastAsia="zh-CN"/>
          <w14:textFill>
            <w14:solidFill>
              <w14:schemeClr w14:val="tx1"/>
            </w14:solidFill>
          </w14:textFill>
        </w:rPr>
        <w:t>各城燃企业要严格遵守《中华人民共和国价格法》《中华人民共和国反垄断法》等相关法律法规，主动加强行业自律、维护市场秩序，严格规范价格行为，保障消费者合法权益，自觉接受相关部门和社会各界监督。</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hint="eastAsia" w:ascii="仿宋" w:hAnsi="仿宋" w:eastAsia="仿宋" w:cs="楷体"/>
          <w:color w:val="000000" w:themeColor="text1"/>
          <w:kern w:val="0"/>
          <w:sz w:val="32"/>
          <w:szCs w:val="32"/>
          <w:lang w:eastAsia="zh-CN"/>
          <w14:textFill>
            <w14:solidFill>
              <w14:schemeClr w14:val="tx1"/>
            </w14:solidFill>
          </w14:textFill>
        </w:rPr>
      </w:pPr>
      <w:r>
        <w:rPr>
          <w:rFonts w:hint="eastAsia" w:ascii="楷体" w:hAnsi="楷体" w:eastAsia="楷体" w:cs="楷体"/>
          <w:b/>
          <w:bCs/>
          <w:color w:val="000000" w:themeColor="text1"/>
          <w:kern w:val="0"/>
          <w:sz w:val="32"/>
          <w:szCs w:val="32"/>
          <w:lang w:eastAsia="zh-CN"/>
          <w14:textFill>
            <w14:solidFill>
              <w14:schemeClr w14:val="tx1"/>
            </w14:solidFill>
          </w14:textFill>
        </w:rPr>
        <w:t>（四）加强政策宣传并做好明码标价公示。</w:t>
      </w:r>
      <w:r>
        <w:rPr>
          <w:rFonts w:hint="eastAsia" w:ascii="仿宋" w:hAnsi="仿宋" w:eastAsia="仿宋" w:cs="楷体"/>
          <w:color w:val="000000" w:themeColor="text1"/>
          <w:kern w:val="0"/>
          <w:sz w:val="32"/>
          <w:szCs w:val="32"/>
          <w:lang w:eastAsia="zh-CN"/>
          <w14:textFill>
            <w14:solidFill>
              <w14:schemeClr w14:val="tx1"/>
            </w14:solidFill>
          </w14:textFill>
        </w:rPr>
        <w:t>各城燃企业要严格按照有关法律法规规定做好明码标价工作，要实行清单化收费管理，确保清单之外无收费</w:t>
      </w:r>
      <w:r>
        <w:rPr>
          <w:rFonts w:hint="eastAsia" w:ascii="仿宋" w:hAnsi="仿宋" w:eastAsia="仿宋" w:cs="楷体"/>
          <w:color w:val="000000" w:themeColor="text1"/>
          <w:kern w:val="0"/>
          <w:sz w:val="32"/>
          <w:szCs w:val="32"/>
          <w14:textFill>
            <w14:solidFill>
              <w14:schemeClr w14:val="tx1"/>
            </w14:solidFill>
          </w14:textFill>
        </w:rPr>
        <w:t>；</w:t>
      </w:r>
      <w:r>
        <w:rPr>
          <w:rFonts w:hint="eastAsia" w:ascii="仿宋" w:hAnsi="仿宋" w:eastAsia="仿宋" w:cs="楷体"/>
          <w:color w:val="000000" w:themeColor="text1"/>
          <w:kern w:val="0"/>
          <w:sz w:val="32"/>
          <w:szCs w:val="32"/>
          <w:lang w:eastAsia="zh-CN"/>
          <w14:textFill>
            <w14:solidFill>
              <w14:schemeClr w14:val="tx1"/>
            </w14:solidFill>
          </w14:textFill>
        </w:rPr>
        <w:t>要提前通过各种形式和渠道，耐心细致做好政策宣传解读，及时回应社会关切，争取社会各方面理解和支持，确保价格政策平稳落地实施。</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3840" w:firstLineChars="1200"/>
        <w:jc w:val="both"/>
        <w:textAlignment w:val="auto"/>
        <w:rPr>
          <w:rFonts w:hint="eastAsia" w:ascii="仿宋" w:hAnsi="仿宋" w:eastAsia="仿宋" w:cs="楷体"/>
          <w:color w:val="000000" w:themeColor="text1"/>
          <w:kern w:val="0"/>
          <w:sz w:val="32"/>
          <w:szCs w:val="32"/>
          <w:lang w:val="en-US" w:eastAsia="zh-CN"/>
          <w14:textFill>
            <w14:solidFill>
              <w14:schemeClr w14:val="tx1"/>
            </w14:solidFill>
          </w14:textFill>
        </w:rPr>
      </w:pPr>
      <w:r>
        <w:rPr>
          <w:rFonts w:hint="eastAsia" w:ascii="仿宋" w:hAnsi="仿宋" w:eastAsia="仿宋" w:cs="楷体"/>
          <w:color w:val="000000" w:themeColor="text1"/>
          <w:kern w:val="0"/>
          <w:sz w:val="32"/>
          <w:szCs w:val="32"/>
          <w:lang w:val="en-US" w:eastAsia="zh-CN"/>
          <w14:textFill>
            <w14:solidFill>
              <w14:schemeClr w14:val="tx1"/>
            </w14:solidFill>
          </w14:textFill>
        </w:rPr>
        <w:t>沁水县发展改革和科技局</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4480" w:firstLineChars="1400"/>
        <w:jc w:val="both"/>
        <w:textAlignment w:val="auto"/>
        <w:rPr>
          <w:rFonts w:hint="default" w:ascii="仿宋" w:hAnsi="仿宋" w:eastAsia="仿宋" w:cs="楷体"/>
          <w:color w:val="000000" w:themeColor="text1"/>
          <w:kern w:val="0"/>
          <w:sz w:val="32"/>
          <w:szCs w:val="32"/>
          <w:lang w:val="en-US" w:eastAsia="zh-CN"/>
          <w14:textFill>
            <w14:solidFill>
              <w14:schemeClr w14:val="tx1"/>
            </w14:solidFill>
          </w14:textFill>
        </w:rPr>
      </w:pPr>
      <w:r>
        <w:rPr>
          <w:rFonts w:hint="eastAsia" w:ascii="仿宋" w:hAnsi="仿宋" w:eastAsia="仿宋" w:cs="楷体"/>
          <w:color w:val="000000" w:themeColor="text1"/>
          <w:kern w:val="0"/>
          <w:sz w:val="32"/>
          <w:szCs w:val="32"/>
          <w:lang w:val="en-US" w:eastAsia="zh-CN"/>
          <w14:textFill>
            <w14:solidFill>
              <w14:schemeClr w14:val="tx1"/>
            </w14:solidFill>
          </w14:textFill>
        </w:rPr>
        <w:t>2026年8月17日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556C57"/>
    <w:multiLevelType w:val="singleLevel"/>
    <w:tmpl w:val="FE556C57"/>
    <w:lvl w:ilvl="0" w:tentative="0">
      <w:start w:val="2"/>
      <w:numFmt w:val="chineseCounting"/>
      <w:suff w:val="nothing"/>
      <w:lvlText w:val="%1、"/>
      <w:lvlJc w:val="left"/>
      <w:rPr>
        <w:rFonts w:hint="eastAsia"/>
      </w:rPr>
    </w:lvl>
  </w:abstractNum>
  <w:abstractNum w:abstractNumId="1">
    <w:nsid w:val="728CC1C6"/>
    <w:multiLevelType w:val="singleLevel"/>
    <w:tmpl w:val="728CC1C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B48B0"/>
    <w:rsid w:val="00FC3E1B"/>
    <w:rsid w:val="01D24989"/>
    <w:rsid w:val="05A6508F"/>
    <w:rsid w:val="05A8567B"/>
    <w:rsid w:val="08A96637"/>
    <w:rsid w:val="09D82AB2"/>
    <w:rsid w:val="0C807FF6"/>
    <w:rsid w:val="173246DF"/>
    <w:rsid w:val="17F92A0B"/>
    <w:rsid w:val="18C13529"/>
    <w:rsid w:val="1A0A1C23"/>
    <w:rsid w:val="1C563AE8"/>
    <w:rsid w:val="1D9C6312"/>
    <w:rsid w:val="1F854242"/>
    <w:rsid w:val="1FA3607E"/>
    <w:rsid w:val="203E55D3"/>
    <w:rsid w:val="21BE0F4D"/>
    <w:rsid w:val="23A67EEB"/>
    <w:rsid w:val="2CF40AD1"/>
    <w:rsid w:val="2F5702EB"/>
    <w:rsid w:val="32A36A1D"/>
    <w:rsid w:val="3E5C7924"/>
    <w:rsid w:val="3F0A35CC"/>
    <w:rsid w:val="402D3E3B"/>
    <w:rsid w:val="45F97EF6"/>
    <w:rsid w:val="46915730"/>
    <w:rsid w:val="475B48B0"/>
    <w:rsid w:val="4932784F"/>
    <w:rsid w:val="53CE7BB9"/>
    <w:rsid w:val="542E104C"/>
    <w:rsid w:val="5C8A56BD"/>
    <w:rsid w:val="5C9D150F"/>
    <w:rsid w:val="6B680BAF"/>
    <w:rsid w:val="6D633BF2"/>
    <w:rsid w:val="71863EB3"/>
    <w:rsid w:val="728B1D53"/>
    <w:rsid w:val="77613082"/>
    <w:rsid w:val="790A4102"/>
    <w:rsid w:val="7BF70459"/>
    <w:rsid w:val="7EA164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2036</Words>
  <Characters>2129</Characters>
  <Lines>0</Lines>
  <Paragraphs>0</Paragraphs>
  <TotalTime>2</TotalTime>
  <ScaleCrop>false</ScaleCrop>
  <LinksUpToDate>false</LinksUpToDate>
  <CharactersWithSpaces>2129</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2026-08-15T03:40:00Z</dcterms:created>
  <dc:creator>心语清海</dc:creator>
  <cp:lastModifiedBy>Administrator</cp:lastModifiedBy>
  <cp:lastPrinted>2026-08-18T08:03:00Z</cp:lastPrinted>
  <dcterms:modified xsi:type="dcterms:W3CDTF">2026-08-19T07:14:32Z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7FCC71E4E88D49B19531E68AF86070B2_11</vt:lpwstr>
  </property>
  <property fmtid="{D5CDD505-2E9C-101B-9397-08002B2CF9AE}" pid="4" name="KSOTemplateDocerSaveRecord">
    <vt:lpwstr>eyJoZGlkIjoiNWIwM2YxNzU3NGM5YjlmOWNkZGI0YmRiYmRlZDg2OWYiLCJ1c2VySWQiOiI2MzkwMDk0NTgifQ==</vt:lpwstr>
  </property>
</Properties>
</file>