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64D76">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jc w:val="center"/>
        <w:textAlignment w:val="auto"/>
        <w:outlineLvl w:val="9"/>
        <w:rPr>
          <w:rFonts w:hint="eastAsia" w:ascii="方正小标宋_GBK" w:hAnsi="方正小标宋_GBK" w:eastAsia="方正小标宋_GBK" w:cs="方正小标宋_GBK"/>
          <w:w w:val="100"/>
          <w:sz w:val="44"/>
          <w:szCs w:val="44"/>
          <w:lang w:val="en-US" w:eastAsia="zh-CN"/>
        </w:rPr>
      </w:pPr>
      <w:r>
        <w:rPr>
          <w:rFonts w:hint="eastAsia" w:ascii="方正小标宋_GBK" w:hAnsi="方正小标宋_GBK" w:eastAsia="方正小标宋_GBK" w:cs="方正小标宋_GBK"/>
          <w:w w:val="100"/>
          <w:sz w:val="44"/>
          <w:szCs w:val="44"/>
          <w:lang w:val="en-US" w:eastAsia="zh-CN"/>
        </w:rPr>
        <w:t>沁水县人民政府</w:t>
      </w:r>
    </w:p>
    <w:p w14:paraId="34BF2A12">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jc w:val="center"/>
        <w:textAlignment w:val="auto"/>
        <w:outlineLvl w:val="9"/>
        <w:rPr>
          <w:rFonts w:hint="eastAsia" w:ascii="方正小标宋_GBK" w:hAnsi="方正小标宋_GBK" w:eastAsia="方正小标宋_GBK" w:cs="方正小标宋_GBK"/>
          <w:w w:val="100"/>
          <w:sz w:val="44"/>
          <w:szCs w:val="44"/>
        </w:rPr>
      </w:pPr>
    </w:p>
    <w:p w14:paraId="387F1842">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jc w:val="center"/>
        <w:textAlignment w:val="auto"/>
        <w:outlineLvl w:val="9"/>
        <w:rPr>
          <w:rFonts w:hint="eastAsia" w:ascii="方正小标宋_GBK" w:hAnsi="方正小标宋_GBK" w:eastAsia="方正小标宋_GBK" w:cs="方正小标宋_GBK"/>
          <w:w w:val="100"/>
          <w:sz w:val="44"/>
          <w:szCs w:val="44"/>
        </w:rPr>
      </w:pPr>
      <w:r>
        <w:rPr>
          <w:sz w:val="44"/>
        </w:rPr>
        <mc:AlternateContent>
          <mc:Choice Requires="wps">
            <w:drawing>
              <wp:anchor distT="0" distB="0" distL="114300" distR="114300" simplePos="0" relativeHeight="251659264" behindDoc="0" locked="0" layoutInCell="1" allowOverlap="1">
                <wp:simplePos x="0" y="0"/>
                <wp:positionH relativeFrom="column">
                  <wp:posOffset>-58420</wp:posOffset>
                </wp:positionH>
                <wp:positionV relativeFrom="paragraph">
                  <wp:posOffset>21590</wp:posOffset>
                </wp:positionV>
                <wp:extent cx="5746750" cy="0"/>
                <wp:effectExtent l="0" t="13970" r="6350" b="24130"/>
                <wp:wrapNone/>
                <wp:docPr id="4" name="直接连接符 4"/>
                <wp:cNvGraphicFramePr/>
                <a:graphic xmlns:a="http://schemas.openxmlformats.org/drawingml/2006/main">
                  <a:graphicData uri="http://schemas.microsoft.com/office/word/2010/wordprocessingShape">
                    <wps:wsp>
                      <wps:cNvCnPr/>
                      <wps:spPr>
                        <a:xfrm>
                          <a:off x="913765" y="1604645"/>
                          <a:ext cx="5746750" cy="0"/>
                        </a:xfrm>
                        <a:prstGeom prst="line">
                          <a:avLst/>
                        </a:prstGeom>
                        <a:ln w="28575"/>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4.6pt;margin-top:1.7pt;height:0pt;width:452.5pt;z-index:251659264;mso-width-relative:page;mso-height-relative:page;" filled="f" stroked="t" coordsize="21600,21600" o:gfxdata="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92iOT0wAAAAYBAAAPAAAAAAAAAAEAIAAAACIAAABkcnMvZG93bnJldi54bWxQSwECFAAUAAAA&#10;CACHTuJARa+6MfMBAAC9AwAADgAAAAAAAAABACAAAAAiAQAAZHJzL2Uyb0RvYy54bWxQSwUGAAAA&#10;AAYABgBZAQAAhwUAAAAA&#10;">
                <v:fill on="f" focussize="0,0"/>
                <v:stroke weight="2.25pt" color="#000000 [3200]" miterlimit="8" joinstyle="miter"/>
                <v:imagedata o:title=""/>
                <o:lock v:ext="edit" aspectratio="f"/>
              </v:line>
            </w:pict>
          </mc:Fallback>
        </mc:AlternateContent>
      </w:r>
    </w:p>
    <w:p w14:paraId="622FDA72">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jc w:val="center"/>
        <w:textAlignment w:val="auto"/>
        <w:outlineLvl w:val="9"/>
        <w:rPr>
          <w:rFonts w:hint="eastAsia" w:ascii="方正小标宋_GBK" w:hAnsi="方正小标宋_GBK" w:eastAsia="方正小标宋_GBK" w:cs="方正小标宋_GBK"/>
          <w:w w:val="100"/>
          <w:sz w:val="44"/>
          <w:szCs w:val="44"/>
        </w:rPr>
      </w:pPr>
      <w:r>
        <w:rPr>
          <w:rFonts w:hint="eastAsia" w:ascii="方正小标宋_GBK" w:hAnsi="方正小标宋_GBK" w:eastAsia="方正小标宋_GBK" w:cs="方正小标宋_GBK"/>
          <w:w w:val="100"/>
          <w:sz w:val="44"/>
          <w:szCs w:val="44"/>
        </w:rPr>
        <w:t>行政复议决定书</w:t>
      </w:r>
    </w:p>
    <w:p w14:paraId="0FD4196E">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420"/>
        <w:jc w:val="both"/>
        <w:textAlignment w:val="auto"/>
        <w:outlineLvl w:val="9"/>
        <w:rPr>
          <w:rFonts w:hint="eastAsia" w:ascii="仿宋_GB2312" w:hAnsi="新宋体" w:eastAsia="仿宋_GB2312"/>
          <w:w w:val="100"/>
          <w:sz w:val="32"/>
          <w:szCs w:val="32"/>
        </w:rPr>
      </w:pPr>
      <w:r>
        <w:rPr>
          <w:rFonts w:hint="eastAsia" w:ascii="仿宋_GB2312" w:hAnsi="新宋体" w:eastAsia="仿宋_GB2312"/>
          <w:w w:val="100"/>
          <w:sz w:val="32"/>
          <w:szCs w:val="32"/>
        </w:rPr>
        <w:t xml:space="preserve">                             </w:t>
      </w:r>
    </w:p>
    <w:p w14:paraId="71AE0C56">
      <w:pPr>
        <w:keepNext w:val="0"/>
        <w:keepLines w:val="0"/>
        <w:pageBreakBefore w:val="0"/>
        <w:widowControl w:val="0"/>
        <w:kinsoku/>
        <w:wordWrap/>
        <w:overflowPunct w:val="0"/>
        <w:topLinePunct w:val="0"/>
        <w:autoSpaceDE/>
        <w:autoSpaceDN/>
        <w:bidi w:val="0"/>
        <w:adjustRightInd w:val="0"/>
        <w:snapToGrid w:val="0"/>
        <w:spacing w:line="622" w:lineRule="exact"/>
        <w:ind w:right="0" w:rightChars="0"/>
        <w:jc w:val="both"/>
        <w:textAlignment w:val="auto"/>
        <w:outlineLvl w:val="9"/>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lang w:val="en-US" w:eastAsia="zh-CN"/>
        </w:rPr>
        <w:t xml:space="preserve">                                       </w:t>
      </w:r>
      <w:r>
        <w:rPr>
          <w:rFonts w:hint="eastAsia" w:ascii="仿宋_GB2312" w:hAnsi="仿宋_GB2312" w:eastAsia="仿宋_GB2312" w:cs="仿宋_GB2312"/>
          <w:w w:val="100"/>
          <w:sz w:val="32"/>
          <w:szCs w:val="32"/>
        </w:rPr>
        <w:t>〔</w:t>
      </w:r>
      <w:r>
        <w:rPr>
          <w:rFonts w:hint="eastAsia" w:ascii="仿宋_GB2312" w:hAnsi="仿宋_GB2312" w:eastAsia="仿宋_GB2312" w:cs="仿宋_GB2312"/>
          <w:w w:val="100"/>
          <w:sz w:val="32"/>
          <w:szCs w:val="32"/>
          <w:lang w:val="en-US" w:eastAsia="zh-CN"/>
        </w:rPr>
        <w:t>2022</w:t>
      </w:r>
      <w:r>
        <w:rPr>
          <w:rFonts w:hint="eastAsia" w:ascii="仿宋_GB2312" w:hAnsi="仿宋_GB2312" w:eastAsia="仿宋_GB2312" w:cs="仿宋_GB2312"/>
          <w:w w:val="100"/>
          <w:sz w:val="32"/>
          <w:szCs w:val="32"/>
        </w:rPr>
        <w:t>〕</w:t>
      </w:r>
      <w:r>
        <w:rPr>
          <w:rFonts w:hint="eastAsia" w:ascii="仿宋_GB2312" w:hAnsi="仿宋_GB2312" w:eastAsia="仿宋_GB2312" w:cs="仿宋_GB2312"/>
          <w:w w:val="100"/>
          <w:sz w:val="32"/>
          <w:szCs w:val="32"/>
          <w:lang w:val="en-US" w:eastAsia="zh-CN"/>
        </w:rPr>
        <w:t>2</w:t>
      </w:r>
      <w:r>
        <w:rPr>
          <w:rFonts w:hint="eastAsia" w:ascii="仿宋_GB2312" w:hAnsi="仿宋_GB2312" w:eastAsia="仿宋_GB2312" w:cs="仿宋_GB2312"/>
          <w:w w:val="100"/>
          <w:sz w:val="32"/>
          <w:szCs w:val="32"/>
        </w:rPr>
        <w:t>号</w:t>
      </w:r>
    </w:p>
    <w:p w14:paraId="49A35817">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420"/>
        <w:jc w:val="both"/>
        <w:textAlignment w:val="auto"/>
        <w:outlineLvl w:val="9"/>
        <w:rPr>
          <w:rFonts w:hint="eastAsia" w:ascii="仿宋_GB2312" w:hAnsi="仿宋_GB2312" w:eastAsia="仿宋_GB2312" w:cs="仿宋_GB2312"/>
          <w:w w:val="100"/>
          <w:sz w:val="32"/>
          <w:szCs w:val="32"/>
        </w:rPr>
      </w:pPr>
    </w:p>
    <w:p w14:paraId="26295C67">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bCs/>
          <w:w w:val="100"/>
          <w:sz w:val="32"/>
          <w:szCs w:val="32"/>
          <w:u w:val="single"/>
        </w:rPr>
      </w:pPr>
      <w:r>
        <w:rPr>
          <w:rFonts w:hint="eastAsia" w:ascii="仿宋_GB2312" w:hAnsi="仿宋_GB2312" w:eastAsia="仿宋_GB2312" w:cs="仿宋_GB2312"/>
          <w:w w:val="100"/>
          <w:sz w:val="32"/>
          <w:szCs w:val="32"/>
        </w:rPr>
        <w:t>申</w:t>
      </w:r>
      <w:r>
        <w:rPr>
          <w:rFonts w:hint="eastAsia" w:ascii="仿宋_GB2312" w:hAnsi="仿宋_GB2312" w:eastAsia="仿宋_GB2312" w:cs="仿宋_GB2312"/>
          <w:w w:val="100"/>
          <w:sz w:val="32"/>
          <w:szCs w:val="32"/>
          <w:lang w:val="en-US" w:eastAsia="zh-CN"/>
        </w:rPr>
        <w:t xml:space="preserve">  </w:t>
      </w:r>
      <w:r>
        <w:rPr>
          <w:rFonts w:hint="eastAsia" w:ascii="仿宋_GB2312" w:hAnsi="仿宋_GB2312" w:eastAsia="仿宋_GB2312" w:cs="仿宋_GB2312"/>
          <w:w w:val="100"/>
          <w:sz w:val="32"/>
          <w:szCs w:val="32"/>
        </w:rPr>
        <w:t>请</w:t>
      </w:r>
      <w:r>
        <w:rPr>
          <w:rFonts w:hint="eastAsia" w:ascii="仿宋_GB2312" w:hAnsi="仿宋_GB2312" w:eastAsia="仿宋_GB2312" w:cs="仿宋_GB2312"/>
          <w:w w:val="100"/>
          <w:sz w:val="32"/>
          <w:szCs w:val="32"/>
          <w:lang w:val="en-US" w:eastAsia="zh-CN"/>
        </w:rPr>
        <w:t xml:space="preserve">  </w:t>
      </w:r>
      <w:r>
        <w:rPr>
          <w:rFonts w:hint="eastAsia" w:ascii="仿宋_GB2312" w:hAnsi="仿宋_GB2312" w:eastAsia="仿宋_GB2312" w:cs="仿宋_GB2312"/>
          <w:w w:val="100"/>
          <w:sz w:val="32"/>
          <w:szCs w:val="32"/>
        </w:rPr>
        <w:t>人</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bCs/>
          <w:w w:val="100"/>
          <w:sz w:val="32"/>
          <w:szCs w:val="32"/>
          <w:u w:val="none"/>
          <w:lang w:val="en-US" w:eastAsia="zh-CN"/>
        </w:rPr>
        <w:t>杨某</w:t>
      </w:r>
    </w:p>
    <w:p w14:paraId="3733D470">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u w:val="single"/>
        </w:rPr>
      </w:pPr>
      <w:r>
        <w:rPr>
          <w:rFonts w:hint="eastAsia" w:ascii="仿宋_GB2312" w:hAnsi="仿宋_GB2312" w:eastAsia="仿宋_GB2312" w:cs="仿宋_GB2312"/>
          <w:w w:val="100"/>
          <w:sz w:val="32"/>
          <w:szCs w:val="32"/>
        </w:rPr>
        <w:t>被</w:t>
      </w:r>
      <w:r>
        <w:rPr>
          <w:rFonts w:hint="eastAsia" w:ascii="仿宋_GB2312" w:hAnsi="仿宋_GB2312" w:eastAsia="仿宋_GB2312" w:cs="仿宋_GB2312"/>
          <w:spacing w:val="-16"/>
          <w:w w:val="100"/>
          <w:sz w:val="32"/>
          <w:szCs w:val="32"/>
          <w:lang w:val="en-US" w:eastAsia="zh-CN"/>
        </w:rPr>
        <w:t xml:space="preserve"> </w:t>
      </w:r>
      <w:r>
        <w:rPr>
          <w:rFonts w:hint="eastAsia" w:ascii="仿宋_GB2312" w:hAnsi="仿宋_GB2312" w:eastAsia="仿宋_GB2312" w:cs="仿宋_GB2312"/>
          <w:spacing w:val="-16"/>
          <w:w w:val="100"/>
          <w:sz w:val="32"/>
          <w:szCs w:val="32"/>
        </w:rPr>
        <w:t>申</w:t>
      </w:r>
      <w:r>
        <w:rPr>
          <w:rFonts w:hint="eastAsia" w:ascii="仿宋_GB2312" w:hAnsi="仿宋_GB2312" w:eastAsia="仿宋_GB2312" w:cs="仿宋_GB2312"/>
          <w:spacing w:val="-16"/>
          <w:w w:val="100"/>
          <w:sz w:val="32"/>
          <w:szCs w:val="32"/>
          <w:lang w:val="en-US" w:eastAsia="zh-CN"/>
        </w:rPr>
        <w:t xml:space="preserve"> </w:t>
      </w:r>
      <w:r>
        <w:rPr>
          <w:rFonts w:hint="eastAsia" w:ascii="仿宋_GB2312" w:hAnsi="仿宋_GB2312" w:eastAsia="仿宋_GB2312" w:cs="仿宋_GB2312"/>
          <w:spacing w:val="-16"/>
          <w:w w:val="100"/>
          <w:sz w:val="32"/>
          <w:szCs w:val="32"/>
        </w:rPr>
        <w:t>请</w:t>
      </w:r>
      <w:r>
        <w:rPr>
          <w:rFonts w:hint="eastAsia" w:ascii="仿宋_GB2312" w:hAnsi="仿宋_GB2312" w:eastAsia="仿宋_GB2312" w:cs="仿宋_GB2312"/>
          <w:spacing w:val="-16"/>
          <w:w w:val="100"/>
          <w:sz w:val="32"/>
          <w:szCs w:val="32"/>
          <w:lang w:val="en-US" w:eastAsia="zh-CN"/>
        </w:rPr>
        <w:t xml:space="preserve"> </w:t>
      </w:r>
      <w:r>
        <w:rPr>
          <w:rFonts w:hint="eastAsia" w:ascii="仿宋_GB2312" w:hAnsi="仿宋_GB2312" w:eastAsia="仿宋_GB2312" w:cs="仿宋_GB2312"/>
          <w:w w:val="100"/>
          <w:sz w:val="32"/>
          <w:szCs w:val="32"/>
        </w:rPr>
        <w:t>人：</w:t>
      </w:r>
      <w:r>
        <w:rPr>
          <w:rFonts w:hint="eastAsia" w:ascii="仿宋_GB2312" w:hAnsi="仿宋_GB2312" w:eastAsia="仿宋_GB2312" w:cs="仿宋_GB2312"/>
          <w:w w:val="100"/>
          <w:sz w:val="32"/>
          <w:szCs w:val="32"/>
          <w:lang w:val="en-US" w:eastAsia="zh-CN"/>
        </w:rPr>
        <w:t>沁水县市场监督管理局</w:t>
      </w:r>
    </w:p>
    <w:p w14:paraId="62B42C99">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bCs/>
          <w:w w:val="100"/>
          <w:sz w:val="32"/>
          <w:szCs w:val="32"/>
          <w:lang w:val="en-US" w:eastAsia="zh-CN"/>
        </w:rPr>
      </w:pPr>
      <w:r>
        <w:rPr>
          <w:rFonts w:hint="eastAsia" w:ascii="仿宋_GB2312" w:hAnsi="仿宋_GB2312" w:eastAsia="仿宋_GB2312" w:cs="仿宋_GB2312"/>
          <w:bCs/>
          <w:w w:val="100"/>
          <w:sz w:val="32"/>
          <w:szCs w:val="32"/>
        </w:rPr>
        <w:t>法定代表人</w:t>
      </w:r>
      <w:r>
        <w:rPr>
          <w:rFonts w:hint="eastAsia" w:ascii="仿宋_GB2312" w:hAnsi="仿宋_GB2312" w:eastAsia="仿宋_GB2312" w:cs="仿宋_GB2312"/>
          <w:bCs/>
          <w:w w:val="100"/>
          <w:sz w:val="32"/>
          <w:szCs w:val="32"/>
          <w:lang w:eastAsia="zh-CN"/>
        </w:rPr>
        <w:t>：</w:t>
      </w:r>
      <w:r>
        <w:rPr>
          <w:rFonts w:hint="eastAsia" w:ascii="仿宋_GB2312" w:hAnsi="仿宋_GB2312" w:eastAsia="仿宋_GB2312" w:cs="仿宋_GB2312"/>
          <w:bCs/>
          <w:w w:val="100"/>
          <w:sz w:val="32"/>
          <w:szCs w:val="32"/>
          <w:lang w:val="en-US" w:eastAsia="zh-CN"/>
        </w:rPr>
        <w:t>崔东波</w:t>
      </w:r>
    </w:p>
    <w:p w14:paraId="1FEFADA7">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bCs/>
          <w:w w:val="100"/>
          <w:sz w:val="32"/>
          <w:szCs w:val="32"/>
          <w:lang w:val="en-US" w:eastAsia="zh-CN"/>
        </w:rPr>
      </w:pPr>
      <w:r>
        <w:rPr>
          <w:rFonts w:hint="eastAsia" w:ascii="仿宋_GB2312" w:hAnsi="仿宋_GB2312" w:eastAsia="仿宋_GB2312" w:cs="仿宋_GB2312"/>
          <w:bCs/>
          <w:w w:val="100"/>
          <w:sz w:val="32"/>
          <w:szCs w:val="32"/>
          <w:lang w:val="en-US" w:eastAsia="zh-CN"/>
        </w:rPr>
        <w:t>职　　　务：局　长</w:t>
      </w:r>
    </w:p>
    <w:p w14:paraId="70B5B9C3">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bCs/>
          <w:w w:val="100"/>
          <w:sz w:val="32"/>
          <w:szCs w:val="32"/>
          <w:lang w:val="en-US" w:eastAsia="zh-CN"/>
        </w:rPr>
      </w:pPr>
      <w:r>
        <w:rPr>
          <w:rFonts w:hint="eastAsia" w:ascii="仿宋_GB2312" w:hAnsi="仿宋_GB2312" w:eastAsia="仿宋_GB2312" w:cs="仿宋_GB2312"/>
          <w:bCs/>
          <w:w w:val="100"/>
          <w:sz w:val="32"/>
          <w:szCs w:val="32"/>
          <w:lang w:val="en-US" w:eastAsia="zh-CN"/>
        </w:rPr>
        <w:t>地　　　址：沁水县新建西街46号</w:t>
      </w:r>
    </w:p>
    <w:p w14:paraId="30C36B26">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rPr>
        <w:t>申请人对被申请人</w:t>
      </w:r>
      <w:r>
        <w:rPr>
          <w:rFonts w:hint="eastAsia" w:ascii="仿宋_GB2312" w:hAnsi="仿宋_GB2312" w:eastAsia="仿宋_GB2312" w:cs="仿宋_GB2312"/>
          <w:w w:val="100"/>
          <w:sz w:val="32"/>
          <w:szCs w:val="32"/>
          <w:lang w:val="en-US" w:eastAsia="zh-CN"/>
        </w:rPr>
        <w:t>作出的〔2022〕X号当场行政处罚决定</w:t>
      </w:r>
      <w:r>
        <w:rPr>
          <w:rFonts w:hint="eastAsia" w:ascii="仿宋_GB2312" w:hAnsi="仿宋_GB2312" w:eastAsia="仿宋_GB2312" w:cs="仿宋_GB2312"/>
          <w:w w:val="100"/>
          <w:sz w:val="32"/>
          <w:szCs w:val="32"/>
        </w:rPr>
        <w:t>不服，于</w:t>
      </w:r>
      <w:r>
        <w:rPr>
          <w:rFonts w:hint="eastAsia" w:ascii="仿宋_GB2312" w:hAnsi="仿宋_GB2312" w:eastAsia="仿宋_GB2312" w:cs="仿宋_GB2312"/>
          <w:w w:val="100"/>
          <w:sz w:val="32"/>
          <w:szCs w:val="32"/>
          <w:u w:val="none"/>
          <w:lang w:val="en-US" w:eastAsia="zh-CN"/>
        </w:rPr>
        <w:t>2022</w:t>
      </w:r>
      <w:r>
        <w:rPr>
          <w:rFonts w:hint="eastAsia" w:ascii="仿宋_GB2312" w:hAnsi="仿宋_GB2312" w:eastAsia="仿宋_GB2312" w:cs="仿宋_GB2312"/>
          <w:w w:val="100"/>
          <w:sz w:val="32"/>
          <w:szCs w:val="32"/>
        </w:rPr>
        <w:t>年</w:t>
      </w:r>
      <w:r>
        <w:rPr>
          <w:rFonts w:hint="eastAsia" w:ascii="仿宋_GB2312" w:hAnsi="仿宋_GB2312" w:eastAsia="仿宋_GB2312" w:cs="仿宋_GB2312"/>
          <w:w w:val="100"/>
          <w:sz w:val="32"/>
          <w:szCs w:val="32"/>
          <w:lang w:val="en-US" w:eastAsia="zh-CN"/>
        </w:rPr>
        <w:t>XX</w:t>
      </w:r>
      <w:r>
        <w:rPr>
          <w:rFonts w:hint="eastAsia" w:ascii="仿宋_GB2312" w:hAnsi="仿宋_GB2312" w:eastAsia="仿宋_GB2312" w:cs="仿宋_GB2312"/>
          <w:w w:val="100"/>
          <w:sz w:val="32"/>
          <w:szCs w:val="32"/>
          <w:u w:val="none"/>
        </w:rPr>
        <w:t>月</w:t>
      </w:r>
      <w:r>
        <w:rPr>
          <w:rFonts w:hint="eastAsia" w:ascii="仿宋_GB2312" w:hAnsi="仿宋_GB2312" w:eastAsia="仿宋_GB2312" w:cs="仿宋_GB2312"/>
          <w:w w:val="100"/>
          <w:sz w:val="32"/>
          <w:szCs w:val="32"/>
          <w:u w:val="none"/>
          <w:lang w:val="en-US" w:eastAsia="zh-CN"/>
        </w:rPr>
        <w:t>XX</w:t>
      </w:r>
      <w:r>
        <w:rPr>
          <w:rFonts w:hint="eastAsia" w:ascii="仿宋_GB2312" w:hAnsi="仿宋_GB2312" w:eastAsia="仿宋_GB2312" w:cs="仿宋_GB2312"/>
          <w:w w:val="100"/>
          <w:sz w:val="32"/>
          <w:szCs w:val="32"/>
        </w:rPr>
        <w:t>日向本机关申请行政复议，本机关依法受理</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w w:val="100"/>
          <w:sz w:val="32"/>
          <w:szCs w:val="32"/>
        </w:rPr>
        <w:t>现已审理终结。</w:t>
      </w:r>
    </w:p>
    <w:p w14:paraId="208CB2E2">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rPr>
        <w:t>申请人请求：</w:t>
      </w:r>
    </w:p>
    <w:p w14:paraId="06926191">
      <w:pPr>
        <w:keepNext w:val="0"/>
        <w:keepLines w:val="0"/>
        <w:pageBreakBefore w:val="0"/>
        <w:widowControl w:val="0"/>
        <w:numPr>
          <w:ilvl w:val="0"/>
          <w:numId w:val="1"/>
        </w:numPr>
        <w:kinsoku/>
        <w:wordWrap/>
        <w:overflowPunct w:val="0"/>
        <w:topLinePunct w:val="0"/>
        <w:autoSpaceDE/>
        <w:autoSpaceDN/>
        <w:bidi w:val="0"/>
        <w:adjustRightInd w:val="0"/>
        <w:snapToGrid w:val="0"/>
        <w:spacing w:line="622" w:lineRule="exact"/>
        <w:ind w:left="0" w:leftChars="0" w:right="0" w:rightChars="0" w:firstLine="616"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spacing w:val="-6"/>
          <w:w w:val="100"/>
          <w:sz w:val="32"/>
          <w:szCs w:val="32"/>
          <w:lang w:val="en-US" w:eastAsia="zh-CN"/>
        </w:rPr>
        <w:t>撤销被申请人于2022年XX月XX日全国12315平台作出的关于杨某举报某店的处理决定；</w:t>
      </w:r>
    </w:p>
    <w:p w14:paraId="16424FFD">
      <w:pPr>
        <w:keepNext w:val="0"/>
        <w:keepLines w:val="0"/>
        <w:pageBreakBefore w:val="0"/>
        <w:widowControl w:val="0"/>
        <w:numPr>
          <w:ilvl w:val="0"/>
          <w:numId w:val="1"/>
        </w:numPr>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责令被申请人重新办理该投诉举报案件。</w:t>
      </w:r>
    </w:p>
    <w:p w14:paraId="1728C986">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rPr>
        <w:t>申请人称：</w:t>
      </w:r>
      <w:r>
        <w:rPr>
          <w:rFonts w:hint="eastAsia" w:ascii="仿宋_GB2312" w:hAnsi="仿宋_GB2312" w:eastAsia="仿宋_GB2312" w:cs="仿宋_GB2312"/>
          <w:w w:val="100"/>
          <w:sz w:val="32"/>
          <w:szCs w:val="32"/>
          <w:lang w:val="en-US" w:eastAsia="zh-CN"/>
        </w:rPr>
        <w:t>本人因生活所需在拼多多店铺（某店在拼多多注册）购买某产品，收到商品后发现该商品在网页中宣传的“增强身体免疫力”，本人通过百度查询得知，该产品只是普通食品，不可以宣传有任何功效。本人于2022年XX月XX日通过12315平台对该店进行了投诉。沁水县市场监督管理局在接到投诉后，依据《中华人民共和国行政处罚法》第二十八条第一款、第五十一条和《网络食品安全违法行为查处办法》第三十九条的规定，责令该店改正违法行为，并给予警告的行政处罚。</w:t>
      </w:r>
    </w:p>
    <w:p w14:paraId="631034AC">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本人对该处理结果不服，理由：一、当事人网上刊载的非保健食品信息明示或者暗示具有保健功能的行为，违反了《网络食品安全违法行为查处办法》第十七条第二项的规定，依据《中华人民共和国行政处罚法》第二十八条第一款、第五十一条和《网络食品安全违法行为查处办法》第三十九条的规定，责令当事人改正违法行为，并给予当事人警告的行政处罚。本人认为适用法律条款不当，应当依据《中华人民共和国反不正当竞争法》第二十条，经营者违反本法规定对其商品作虚假或者引人误解的商业宣传，或者通过组织虚假交易等方式帮助其他经营者进行虚假或者引人误解的商业宣传的，由监督检查部门责令停止违法行为，处二十万以上一百万以下罚款。二、本人举报产品本身涉嫌违法事实存在，依《中华人民共和国消费者权益保护法》、《中华人民共和国食品安全法》等，依法处理消费者的举报，是被申请人的法定职责。三、市场监督管理部门应用最严谨的标准、最严格的监管、最严厉的处罚、最严肃的问责，确保人民群众“舌尖上的安全”。</w:t>
      </w:r>
    </w:p>
    <w:p w14:paraId="05679604">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rPr>
        <w:t>被申请人</w:t>
      </w:r>
      <w:r>
        <w:rPr>
          <w:rFonts w:hint="eastAsia" w:ascii="仿宋_GB2312" w:hAnsi="仿宋_GB2312" w:eastAsia="仿宋_GB2312" w:cs="仿宋_GB2312"/>
          <w:w w:val="100"/>
          <w:sz w:val="32"/>
          <w:szCs w:val="32"/>
          <w:lang w:val="en-US" w:eastAsia="zh-CN"/>
        </w:rPr>
        <w:t>答复</w:t>
      </w:r>
      <w:r>
        <w:rPr>
          <w:rFonts w:hint="eastAsia" w:ascii="仿宋_GB2312" w:hAnsi="仿宋_GB2312" w:eastAsia="仿宋_GB2312" w:cs="仿宋_GB2312"/>
          <w:w w:val="100"/>
          <w:sz w:val="32"/>
          <w:szCs w:val="32"/>
        </w:rPr>
        <w:t>：</w:t>
      </w:r>
    </w:p>
    <w:p w14:paraId="775D22E5">
      <w:pPr>
        <w:keepNext w:val="0"/>
        <w:keepLines w:val="0"/>
        <w:pageBreakBefore w:val="0"/>
        <w:widowControl w:val="0"/>
        <w:numPr>
          <w:ilvl w:val="0"/>
          <w:numId w:val="0"/>
        </w:numPr>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一、杨某举报某店在拼多多平台上的“某产品”有增强身体免疫力的宣传，这一情况属实；</w:t>
      </w:r>
    </w:p>
    <w:p w14:paraId="0191952C">
      <w:pPr>
        <w:keepNext w:val="0"/>
        <w:keepLines w:val="0"/>
        <w:pageBreakBefore w:val="0"/>
        <w:widowControl w:val="0"/>
        <w:numPr>
          <w:ilvl w:val="0"/>
          <w:numId w:val="0"/>
        </w:numPr>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二、某店在网络销售中，在商品介绍页对非保健食品（某产品）的介绍信息明示具有保健功能。其行为违反了《网络食品安全违法行为查处办法》第十七条第二项“入网食品生产经营者不得从事下列行为：（二）网上刊载的非保健食品信息明示或者暗示具有保健功能；网上刊载的保健食品的注册证书或者备案凭证等信息与注册或者备案信息不一致；”的规定。应依据《网络食品安全违法行为查处办法》第三十九条“入网食品生产经营者违反本办法第十七条禁止性规定的，由县级以上地方市场监督管理部门责令改正，给予警告；拒不改正的，处5000元以上3万元以下罚款”的规定进行处罚符合法律规定，于法有据。申请人认为涉案商品应当依据《中华人民共和国反不正当竞争法》第二十条“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的规定进行处罚的规定，与事实不符，不符合法律的规定。</w:t>
      </w:r>
    </w:p>
    <w:p w14:paraId="77DDBE1A">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rPr>
        <w:t>经审理查明：</w:t>
      </w:r>
      <w:r>
        <w:rPr>
          <w:rFonts w:hint="eastAsia" w:ascii="仿宋_GB2312" w:hAnsi="仿宋_GB2312" w:eastAsia="仿宋_GB2312" w:cs="仿宋_GB2312"/>
          <w:w w:val="100"/>
          <w:sz w:val="32"/>
          <w:szCs w:val="32"/>
          <w:lang w:val="en-US" w:eastAsia="zh-CN"/>
        </w:rPr>
        <w:t>某店，统一社会信用代码，经营范围：食品经营，零售：孕婴童用品、化妆品、服饰（依法须经批准的项目，经相关部</w:t>
      </w:r>
      <w:bookmarkStart w:id="1" w:name="_GoBack"/>
      <w:bookmarkEnd w:id="1"/>
      <w:r>
        <w:rPr>
          <w:rFonts w:hint="eastAsia" w:ascii="仿宋_GB2312" w:hAnsi="仿宋_GB2312" w:eastAsia="仿宋_GB2312" w:cs="仿宋_GB2312"/>
          <w:w w:val="100"/>
          <w:sz w:val="32"/>
          <w:szCs w:val="32"/>
          <w:lang w:val="en-US" w:eastAsia="zh-CN"/>
        </w:rPr>
        <w:t>门批准后方可开展经营活动），住所X地，负责人XX。某日，申请人在拼多多店铺（某店在拼多多注册）支付人民币11.9元购买某产品一盒，订单编号是XX，该商品为某公司生产。申请人收到商品后，发现该商品在网页中宣传“增强身体免疫力”功能，于2022年X月X日通过12315平台对该店进行了投诉。被申请人接到举报后，经调查取证，发现该店在销售某产品的网页上有“本品添加钙铁锌微量营养元素，增强身体免疫力”的表述。2022年X月X日，被申请人以违反《网络食品安全违法行为查处办法》第十七条第二项的规定，依据《中华人民共和国行政处罚法》第二十八条第一款、第五十一条和《网络食品安全违法行为查处办法》第三十九条的规定，责令该店改正违法行为，并给予其警告的行政处罚，下达X号《当场行政处罚决定书》。</w:t>
      </w:r>
    </w:p>
    <w:p w14:paraId="4F955D0F">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rPr>
        <w:t>上述事实有下列证据证明：</w:t>
      </w:r>
      <w:r>
        <w:rPr>
          <w:rFonts w:hint="eastAsia" w:ascii="仿宋_GB2312" w:hAnsi="仿宋_GB2312" w:eastAsia="仿宋_GB2312" w:cs="仿宋_GB2312"/>
          <w:w w:val="100"/>
          <w:sz w:val="32"/>
          <w:szCs w:val="32"/>
          <w:lang w:val="en-US" w:eastAsia="zh-CN"/>
        </w:rPr>
        <w:t>申请人身份证复印件、行政复议申请书、商品交易信息、商品快照、12315平台举报信息、沁水县市场监督管理局行政处罚案件案卷、2022年沁水县人民政府行政复议案受理审批表及送达回证、沁水县人民政府行政复议答复通知书、沁水县市场监督管理局关于杨某提出行政复议相关问题的答复</w:t>
      </w:r>
      <w:r>
        <w:rPr>
          <w:rFonts w:hint="eastAsia" w:ascii="仿宋_GB2312" w:hAnsi="仿宋_GB2312" w:eastAsia="仿宋_GB2312" w:cs="仿宋_GB2312"/>
          <w:w w:val="100"/>
          <w:sz w:val="32"/>
          <w:szCs w:val="32"/>
        </w:rPr>
        <w:t>。</w:t>
      </w:r>
    </w:p>
    <w:p w14:paraId="35354E36">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537" w:firstLineChars="168"/>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rPr>
        <w:t>本机关认为</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w w:val="100"/>
          <w:sz w:val="32"/>
          <w:szCs w:val="32"/>
          <w:lang w:val="en-US" w:eastAsia="zh-CN"/>
        </w:rPr>
        <w:t>本案的争议焦点是法律适用之争，即该店的违法行为，适用《中华人民共和国反不正当竞争法》第二十条规定还是适用《网络食品安全违法行为查处办法》第三十九条的规定进行处罚。本机关认为应适用《中华人民共和国行政处罚法》和《网络食品安全违法行为查处办法》第三十九条的规定进行处罚。理由如下：</w:t>
      </w:r>
    </w:p>
    <w:p w14:paraId="4C75C503">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b w:val="0"/>
          <w:bCs w:val="0"/>
          <w:w w:val="100"/>
          <w:sz w:val="32"/>
          <w:szCs w:val="32"/>
          <w:lang w:val="en-US" w:eastAsia="zh-CN"/>
        </w:rPr>
        <w:t>第一，从立法目的分析，</w:t>
      </w:r>
      <w:r>
        <w:rPr>
          <w:rFonts w:hint="eastAsia" w:ascii="仿宋_GB2312" w:hAnsi="仿宋_GB2312" w:eastAsia="仿宋_GB2312" w:cs="仿宋_GB2312"/>
          <w:w w:val="100"/>
          <w:sz w:val="32"/>
          <w:szCs w:val="32"/>
          <w:lang w:val="en-US" w:eastAsia="zh-CN"/>
        </w:rPr>
        <w:t>《中华人民共和国反不正当竞争法》第一条规定:“为了促进社会主义市场经济健康发展，鼓励和保护公平竞争，制止不当竞争行为，保护经营者和消费者的合法权益，制定本法”。该法侧重于维护社会主义市场经济秩序。而《网络食品安全违法行为查处办法》的上位法《中华人民共和国食品安全法》第一条</w:t>
      </w:r>
      <w:bookmarkStart w:id="0" w:name="tiao_1_kuan_1"/>
      <w:bookmarkEnd w:id="0"/>
      <w:r>
        <w:rPr>
          <w:rFonts w:hint="eastAsia" w:ascii="仿宋_GB2312" w:hAnsi="仿宋_GB2312" w:eastAsia="仿宋_GB2312" w:cs="仿宋_GB2312"/>
          <w:w w:val="100"/>
          <w:sz w:val="32"/>
          <w:szCs w:val="32"/>
          <w:lang w:val="en-US" w:eastAsia="zh-CN"/>
        </w:rPr>
        <w:t>规定“为保证食品安全，保障公众身体健康和生命安全，制定本法”。该法侧重于食品安全的保障。本案中，申请人在网上购买的某产品一盒，属于食品。从维护食品安全的角度出发，本案应适用《中华人民共和国食品安全法》《网络食品安全违法行为查处办法》进行规范调整。</w:t>
      </w:r>
    </w:p>
    <w:p w14:paraId="37F7240B">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b w:val="0"/>
          <w:bCs w:val="0"/>
          <w:w w:val="100"/>
          <w:sz w:val="32"/>
          <w:szCs w:val="32"/>
          <w:lang w:val="en-US" w:eastAsia="zh-CN"/>
        </w:rPr>
        <w:t>第二，从规范行为分析，</w:t>
      </w:r>
      <w:r>
        <w:rPr>
          <w:rFonts w:hint="eastAsia" w:ascii="仿宋_GB2312" w:hAnsi="仿宋_GB2312" w:eastAsia="仿宋_GB2312" w:cs="仿宋_GB2312"/>
          <w:w w:val="100"/>
          <w:sz w:val="32"/>
          <w:szCs w:val="32"/>
          <w:lang w:val="en-US" w:eastAsia="zh-CN"/>
        </w:rPr>
        <w:t>为维护网络食品销售秩序，国家食品药品监督管理总局制定《网络食品安全违法行为查处办法》。该《办法》第一条规定：“为依法查处网络食品安全违法行为，加强网络食品安全监督管理，保证食品安全，根据《中华人民共和国食品安全法》等法律法规，制定本办法。”第二条规定：“在中华人民共和国境内网络食品交易第三方平台提供者以及通过第三方平台或者自建的网站进行交易的食品生产经营者（以下简称入网食品生产经营者）违反食品安全法律、法规、规章或者食品安全标准行为的查处，适用本办法。”该店在拼多多网上平台销售某产品的行为，应适用《网络食品安全违法行为查处办法》。</w:t>
      </w:r>
    </w:p>
    <w:p w14:paraId="51572A4F">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b w:val="0"/>
          <w:bCs w:val="0"/>
          <w:w w:val="100"/>
          <w:sz w:val="32"/>
          <w:szCs w:val="32"/>
          <w:lang w:val="en-US" w:eastAsia="zh-CN"/>
        </w:rPr>
        <w:t>第三，从过罚相当原则分析，</w:t>
      </w:r>
      <w:r>
        <w:rPr>
          <w:rFonts w:hint="eastAsia" w:ascii="仿宋_GB2312" w:hAnsi="仿宋_GB2312" w:eastAsia="仿宋_GB2312" w:cs="仿宋_GB2312"/>
          <w:w w:val="100"/>
          <w:sz w:val="32"/>
          <w:szCs w:val="32"/>
          <w:lang w:val="en-US" w:eastAsia="zh-CN"/>
        </w:rPr>
        <w:t>如果申请人执意认为应按照《中华人民共和国反不正当竞争法》第二十条的规定进行处罚，就算申请人因受到虚假或者引人误解的商业宣传，从而某产品一盒，根据《中华人民共和国反不正当竞争法》第二十五条规定“经营者违反本法规定从事不正当竞争，有主动消除或者减轻违法行为危害后果等法定情形的，依法从轻或者减轻行政处罚；违法行为轻微并及时纠正，没有造成危害后果的，不予行政处罚”，结合《中华人民共和国行政处罚法》第五条第一款、第二款的规定以及《网络食品安全违法行为查处办法》第三十九条的规定，对比来看，被申请人作出的行政处罚决定是适当的。</w:t>
      </w:r>
    </w:p>
    <w:p w14:paraId="092748D1">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lang w:val="en-US" w:eastAsia="zh-CN"/>
        </w:rPr>
        <w:t>综上所述，被申请人接到投诉后，依法履行查处职责，该行政处罚决定，认定事实清楚，证据确凿，适用依据正确，程序合法，内容适当。</w:t>
      </w:r>
      <w:r>
        <w:rPr>
          <w:rFonts w:hint="eastAsia" w:ascii="仿宋_GB2312" w:hAnsi="仿宋_GB2312" w:eastAsia="仿宋_GB2312" w:cs="仿宋_GB2312"/>
          <w:w w:val="100"/>
          <w:sz w:val="32"/>
          <w:szCs w:val="32"/>
        </w:rPr>
        <w:t>根据</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w w:val="100"/>
          <w:sz w:val="32"/>
          <w:szCs w:val="32"/>
          <w:lang w:val="en-US" w:eastAsia="zh-CN"/>
        </w:rPr>
        <w:t>中华人民共和国行政复议法</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w w:val="100"/>
          <w:sz w:val="32"/>
          <w:szCs w:val="32"/>
          <w:lang w:val="en-US" w:eastAsia="zh-CN"/>
        </w:rPr>
        <w:t>第二十八条第一款第（一）项</w:t>
      </w:r>
      <w:r>
        <w:rPr>
          <w:rFonts w:hint="eastAsia" w:ascii="仿宋_GB2312" w:hAnsi="仿宋_GB2312" w:eastAsia="仿宋_GB2312" w:cs="仿宋_GB2312"/>
          <w:w w:val="100"/>
          <w:sz w:val="32"/>
          <w:szCs w:val="32"/>
        </w:rPr>
        <w:t>规定，</w:t>
      </w:r>
      <w:r>
        <w:rPr>
          <w:rFonts w:hint="eastAsia" w:ascii="仿宋_GB2312" w:hAnsi="仿宋_GB2312" w:eastAsia="仿宋_GB2312" w:cs="仿宋_GB2312"/>
          <w:w w:val="100"/>
          <w:sz w:val="32"/>
          <w:szCs w:val="32"/>
          <w:lang w:val="en-US" w:eastAsia="zh-CN"/>
        </w:rPr>
        <w:t>现</w:t>
      </w:r>
      <w:r>
        <w:rPr>
          <w:rFonts w:hint="eastAsia" w:ascii="仿宋_GB2312" w:hAnsi="仿宋_GB2312" w:eastAsia="仿宋_GB2312" w:cs="仿宋_GB2312"/>
          <w:w w:val="100"/>
          <w:sz w:val="32"/>
          <w:szCs w:val="32"/>
        </w:rPr>
        <w:t>决定如下：</w:t>
      </w:r>
    </w:p>
    <w:p w14:paraId="6551E641">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维持沁水县市场监督管理局作出的X号《当场行政处罚决定书》。</w:t>
      </w:r>
    </w:p>
    <w:p w14:paraId="774E84C9">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640" w:firstLineChars="200"/>
        <w:jc w:val="both"/>
        <w:textAlignment w:val="auto"/>
        <w:outlineLvl w:val="9"/>
        <w:rPr>
          <w:rFonts w:hint="eastAsia" w:ascii="仿宋_GB2312" w:hAnsi="仿宋_GB2312" w:eastAsia="仿宋_GB2312" w:cs="仿宋_GB2312"/>
          <w:w w:val="100"/>
          <w:sz w:val="32"/>
          <w:szCs w:val="32"/>
        </w:rPr>
      </w:pPr>
      <w:r>
        <w:rPr>
          <w:rFonts w:hint="eastAsia" w:ascii="仿宋_GB2312" w:hAnsi="仿宋_GB2312" w:eastAsia="仿宋_GB2312" w:cs="仿宋_GB2312"/>
          <w:w w:val="100"/>
          <w:sz w:val="32"/>
          <w:szCs w:val="32"/>
          <w:lang w:val="en-US" w:eastAsia="zh-CN"/>
        </w:rPr>
        <w:t>申请人如</w:t>
      </w:r>
      <w:r>
        <w:rPr>
          <w:rFonts w:hint="eastAsia" w:ascii="仿宋_GB2312" w:hAnsi="仿宋_GB2312" w:eastAsia="仿宋_GB2312" w:cs="仿宋_GB2312"/>
          <w:w w:val="100"/>
          <w:sz w:val="32"/>
          <w:szCs w:val="32"/>
        </w:rPr>
        <w:t>对本</w:t>
      </w:r>
      <w:r>
        <w:rPr>
          <w:rFonts w:hint="eastAsia" w:ascii="仿宋_GB2312" w:hAnsi="仿宋_GB2312" w:eastAsia="仿宋_GB2312" w:cs="仿宋_GB2312"/>
          <w:w w:val="100"/>
          <w:sz w:val="32"/>
          <w:szCs w:val="32"/>
          <w:lang w:val="en-US" w:eastAsia="zh-CN"/>
        </w:rPr>
        <w:t>复议</w:t>
      </w:r>
      <w:r>
        <w:rPr>
          <w:rFonts w:hint="eastAsia" w:ascii="仿宋_GB2312" w:hAnsi="仿宋_GB2312" w:eastAsia="仿宋_GB2312" w:cs="仿宋_GB2312"/>
          <w:w w:val="100"/>
          <w:sz w:val="32"/>
          <w:szCs w:val="32"/>
        </w:rPr>
        <w:t>决定不服，可以自接到本决定之日起</w:t>
      </w:r>
      <w:r>
        <w:rPr>
          <w:rFonts w:hint="eastAsia" w:ascii="仿宋_GB2312" w:hAnsi="仿宋_GB2312" w:eastAsia="仿宋_GB2312" w:cs="仿宋_GB2312"/>
          <w:w w:val="100"/>
          <w:sz w:val="32"/>
          <w:szCs w:val="32"/>
          <w:lang w:val="en-US" w:eastAsia="zh-CN"/>
        </w:rPr>
        <w:t>十五</w:t>
      </w:r>
      <w:r>
        <w:rPr>
          <w:rFonts w:hint="eastAsia" w:ascii="仿宋_GB2312" w:hAnsi="仿宋_GB2312" w:eastAsia="仿宋_GB2312" w:cs="仿宋_GB2312"/>
          <w:w w:val="100"/>
          <w:sz w:val="32"/>
          <w:szCs w:val="32"/>
        </w:rPr>
        <w:t>日内向</w:t>
      </w:r>
      <w:r>
        <w:rPr>
          <w:rFonts w:hint="eastAsia" w:ascii="仿宋_GB2312" w:hAnsi="仿宋_GB2312" w:eastAsia="仿宋_GB2312" w:cs="仿宋_GB2312"/>
          <w:w w:val="100"/>
          <w:sz w:val="32"/>
          <w:szCs w:val="32"/>
          <w:u w:val="none"/>
          <w:lang w:val="en-US" w:eastAsia="zh-CN"/>
        </w:rPr>
        <w:t>阳城县</w:t>
      </w:r>
      <w:r>
        <w:rPr>
          <w:rFonts w:hint="eastAsia" w:ascii="仿宋_GB2312" w:hAnsi="仿宋_GB2312" w:eastAsia="仿宋_GB2312" w:cs="仿宋_GB2312"/>
          <w:w w:val="100"/>
          <w:sz w:val="32"/>
          <w:szCs w:val="32"/>
        </w:rPr>
        <w:t>人民法院提起行政诉讼。</w:t>
      </w:r>
    </w:p>
    <w:p w14:paraId="44384AF3">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537" w:firstLineChars="168"/>
        <w:jc w:val="both"/>
        <w:textAlignment w:val="auto"/>
        <w:outlineLvl w:val="9"/>
        <w:rPr>
          <w:rFonts w:hint="eastAsia" w:ascii="仿宋_GB2312" w:hAnsi="仿宋_GB2312" w:eastAsia="仿宋_GB2312" w:cs="仿宋_GB2312"/>
          <w:w w:val="100"/>
          <w:sz w:val="32"/>
          <w:szCs w:val="32"/>
        </w:rPr>
      </w:pPr>
    </w:p>
    <w:p w14:paraId="5FD9423A">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537" w:firstLineChars="168"/>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rPr>
        <w:t xml:space="preserve">          </w:t>
      </w:r>
      <w:r>
        <w:rPr>
          <w:rFonts w:hint="eastAsia" w:ascii="仿宋_GB2312" w:hAnsi="仿宋_GB2312" w:eastAsia="仿宋_GB2312" w:cs="仿宋_GB2312"/>
          <w:w w:val="100"/>
          <w:sz w:val="32"/>
          <w:szCs w:val="32"/>
          <w:lang w:val="en-US" w:eastAsia="zh-CN"/>
        </w:rPr>
        <w:t xml:space="preserve">                                    </w:t>
      </w:r>
    </w:p>
    <w:p w14:paraId="45E63F7B">
      <w:pPr>
        <w:keepNext w:val="0"/>
        <w:keepLines w:val="0"/>
        <w:pageBreakBefore w:val="0"/>
        <w:widowControl w:val="0"/>
        <w:kinsoku/>
        <w:wordWrap/>
        <w:overflowPunct w:val="0"/>
        <w:topLinePunct w:val="0"/>
        <w:autoSpaceDE/>
        <w:autoSpaceDN/>
        <w:bidi w:val="0"/>
        <w:adjustRightInd w:val="0"/>
        <w:snapToGrid w:val="0"/>
        <w:spacing w:line="622" w:lineRule="exact"/>
        <w:ind w:left="0" w:leftChars="0" w:right="0" w:rightChars="0" w:firstLine="4480" w:firstLineChars="1400"/>
        <w:jc w:val="both"/>
        <w:textAlignment w:val="auto"/>
        <w:outlineLvl w:val="9"/>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 xml:space="preserve">      二〇二二年X月X日</w:t>
      </w:r>
    </w:p>
    <w:sectPr>
      <w:footerReference r:id="rId3" w:type="default"/>
      <w:pgSz w:w="11906" w:h="16838"/>
      <w:pgMar w:top="1871" w:right="1531" w:bottom="1871" w:left="1531" w:header="851" w:footer="1417" w:gutter="0"/>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新宋体">
    <w:altName w:val="方正书宋_GBK"/>
    <w:panose1 w:val="02010609030101010101"/>
    <w:charset w:val="86"/>
    <w:family w:val="modern"/>
    <w:pitch w:val="default"/>
    <w:sig w:usb0="00000000" w:usb1="00000000" w:usb2="00000006" w:usb3="00000000" w:csb0="00040001"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50A2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5C3E7">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B5C3E7">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1D7307"/>
    <w:multiLevelType w:val="singleLevel"/>
    <w:tmpl w:val="D81D73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4NTRlODUyYjMzODdlZGYxZmExMzQ1N2VlY2VkODYifQ=="/>
  </w:docVars>
  <w:rsids>
    <w:rsidRoot w:val="16001194"/>
    <w:rsid w:val="01EA5991"/>
    <w:rsid w:val="023870D5"/>
    <w:rsid w:val="032C4E8C"/>
    <w:rsid w:val="03385470"/>
    <w:rsid w:val="037C0413"/>
    <w:rsid w:val="05CE61EB"/>
    <w:rsid w:val="06456265"/>
    <w:rsid w:val="06782196"/>
    <w:rsid w:val="06CF1674"/>
    <w:rsid w:val="09C34EBF"/>
    <w:rsid w:val="09E162A4"/>
    <w:rsid w:val="0ADD60A7"/>
    <w:rsid w:val="0B186F45"/>
    <w:rsid w:val="0BAD28E2"/>
    <w:rsid w:val="0BCF0AAA"/>
    <w:rsid w:val="0C0C12FB"/>
    <w:rsid w:val="0C1C6A3C"/>
    <w:rsid w:val="0C315B1C"/>
    <w:rsid w:val="0C59071D"/>
    <w:rsid w:val="0D307327"/>
    <w:rsid w:val="0D980D93"/>
    <w:rsid w:val="0E2A646C"/>
    <w:rsid w:val="0E5A45C7"/>
    <w:rsid w:val="0EAA3109"/>
    <w:rsid w:val="0F2C7FC2"/>
    <w:rsid w:val="0F506E2F"/>
    <w:rsid w:val="0F594274"/>
    <w:rsid w:val="0F663D0F"/>
    <w:rsid w:val="115931BC"/>
    <w:rsid w:val="11B35F82"/>
    <w:rsid w:val="15077890"/>
    <w:rsid w:val="15624AB8"/>
    <w:rsid w:val="159468C1"/>
    <w:rsid w:val="15A54A07"/>
    <w:rsid w:val="15A65896"/>
    <w:rsid w:val="16001194"/>
    <w:rsid w:val="160936E8"/>
    <w:rsid w:val="16201F02"/>
    <w:rsid w:val="17163BD7"/>
    <w:rsid w:val="17C27715"/>
    <w:rsid w:val="180E295A"/>
    <w:rsid w:val="18495740"/>
    <w:rsid w:val="1AFA01D8"/>
    <w:rsid w:val="1B750457"/>
    <w:rsid w:val="1BE20386"/>
    <w:rsid w:val="1CBA6C0D"/>
    <w:rsid w:val="1D1C73D0"/>
    <w:rsid w:val="1DAB01F9"/>
    <w:rsid w:val="1E352611"/>
    <w:rsid w:val="1E617AE2"/>
    <w:rsid w:val="20344F28"/>
    <w:rsid w:val="205E1FA5"/>
    <w:rsid w:val="20720C33"/>
    <w:rsid w:val="20D444E5"/>
    <w:rsid w:val="228C4007"/>
    <w:rsid w:val="252D459D"/>
    <w:rsid w:val="25C4400A"/>
    <w:rsid w:val="26665731"/>
    <w:rsid w:val="267C3E11"/>
    <w:rsid w:val="2741094C"/>
    <w:rsid w:val="279E5A7D"/>
    <w:rsid w:val="2A73664D"/>
    <w:rsid w:val="2B9D2964"/>
    <w:rsid w:val="2BDB2FC9"/>
    <w:rsid w:val="2CA37ED3"/>
    <w:rsid w:val="2D197980"/>
    <w:rsid w:val="2D1C2FCC"/>
    <w:rsid w:val="2DD85145"/>
    <w:rsid w:val="2EB3170E"/>
    <w:rsid w:val="2EF92DF3"/>
    <w:rsid w:val="300C3890"/>
    <w:rsid w:val="303643A5"/>
    <w:rsid w:val="30FB377C"/>
    <w:rsid w:val="31C53C32"/>
    <w:rsid w:val="32E47929"/>
    <w:rsid w:val="33C85C5B"/>
    <w:rsid w:val="34164C19"/>
    <w:rsid w:val="34C8361D"/>
    <w:rsid w:val="3518676F"/>
    <w:rsid w:val="354C1812"/>
    <w:rsid w:val="35BC534C"/>
    <w:rsid w:val="36EC7EB3"/>
    <w:rsid w:val="377F2AAB"/>
    <w:rsid w:val="38044D88"/>
    <w:rsid w:val="38F65019"/>
    <w:rsid w:val="392857BA"/>
    <w:rsid w:val="395861DF"/>
    <w:rsid w:val="39BD4A7E"/>
    <w:rsid w:val="3AA43058"/>
    <w:rsid w:val="3BDF69EC"/>
    <w:rsid w:val="3C7A0E64"/>
    <w:rsid w:val="3C7C5835"/>
    <w:rsid w:val="3CED7040"/>
    <w:rsid w:val="3DE73182"/>
    <w:rsid w:val="3F06588A"/>
    <w:rsid w:val="3F5E6BF1"/>
    <w:rsid w:val="3F657446"/>
    <w:rsid w:val="3FEB353C"/>
    <w:rsid w:val="407708B6"/>
    <w:rsid w:val="41247843"/>
    <w:rsid w:val="42925DB2"/>
    <w:rsid w:val="440F4045"/>
    <w:rsid w:val="45322E80"/>
    <w:rsid w:val="453870C9"/>
    <w:rsid w:val="471846A3"/>
    <w:rsid w:val="49AC17CE"/>
    <w:rsid w:val="4A300C3D"/>
    <w:rsid w:val="4A400978"/>
    <w:rsid w:val="4ACE01A4"/>
    <w:rsid w:val="4B29302C"/>
    <w:rsid w:val="4B3D2633"/>
    <w:rsid w:val="4BDA60D4"/>
    <w:rsid w:val="4C2821EF"/>
    <w:rsid w:val="4C501E05"/>
    <w:rsid w:val="4D61649A"/>
    <w:rsid w:val="4D782332"/>
    <w:rsid w:val="4E54216E"/>
    <w:rsid w:val="4E542ED3"/>
    <w:rsid w:val="4EB32000"/>
    <w:rsid w:val="4ECE0172"/>
    <w:rsid w:val="4F4747DE"/>
    <w:rsid w:val="50AF18DD"/>
    <w:rsid w:val="50CF3A2E"/>
    <w:rsid w:val="50FA4088"/>
    <w:rsid w:val="53C826ED"/>
    <w:rsid w:val="54C53DC5"/>
    <w:rsid w:val="55627866"/>
    <w:rsid w:val="55D219FA"/>
    <w:rsid w:val="57B80474"/>
    <w:rsid w:val="59B461B6"/>
    <w:rsid w:val="59F45004"/>
    <w:rsid w:val="5A037E38"/>
    <w:rsid w:val="5AB02E22"/>
    <w:rsid w:val="5CAF3CEB"/>
    <w:rsid w:val="5CE87B57"/>
    <w:rsid w:val="5D2950F2"/>
    <w:rsid w:val="5E420235"/>
    <w:rsid w:val="5E5623D9"/>
    <w:rsid w:val="60A54095"/>
    <w:rsid w:val="60B64F60"/>
    <w:rsid w:val="613D4CE3"/>
    <w:rsid w:val="62AD0770"/>
    <w:rsid w:val="62E03AAC"/>
    <w:rsid w:val="6807199C"/>
    <w:rsid w:val="680744CB"/>
    <w:rsid w:val="6AC500AA"/>
    <w:rsid w:val="6BC559BA"/>
    <w:rsid w:val="6BF52642"/>
    <w:rsid w:val="6DA57E98"/>
    <w:rsid w:val="6DC16278"/>
    <w:rsid w:val="6DCD5CEB"/>
    <w:rsid w:val="6F152DFC"/>
    <w:rsid w:val="6F9A2CA8"/>
    <w:rsid w:val="6FF04879"/>
    <w:rsid w:val="70DC7AED"/>
    <w:rsid w:val="70F04A6D"/>
    <w:rsid w:val="70F3383A"/>
    <w:rsid w:val="71444FD4"/>
    <w:rsid w:val="7157594D"/>
    <w:rsid w:val="72F5541E"/>
    <w:rsid w:val="737A3AB7"/>
    <w:rsid w:val="73D23A5D"/>
    <w:rsid w:val="74A166E2"/>
    <w:rsid w:val="759A22AD"/>
    <w:rsid w:val="75CA1AEF"/>
    <w:rsid w:val="763224E5"/>
    <w:rsid w:val="77F75794"/>
    <w:rsid w:val="78650103"/>
    <w:rsid w:val="791D56CF"/>
    <w:rsid w:val="79FF0B83"/>
    <w:rsid w:val="7AD265B2"/>
    <w:rsid w:val="7B005CA9"/>
    <w:rsid w:val="7BA32F55"/>
    <w:rsid w:val="7CBE54C5"/>
    <w:rsid w:val="7D172435"/>
    <w:rsid w:val="7E830493"/>
    <w:rsid w:val="7F874787"/>
    <w:rsid w:val="7FBF0DC6"/>
    <w:rsid w:val="D5678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3349</Words>
  <Characters>3471</Characters>
  <Lines>0</Lines>
  <Paragraphs>0</Paragraphs>
  <TotalTime>10</TotalTime>
  <ScaleCrop>false</ScaleCrop>
  <LinksUpToDate>false</LinksUpToDate>
  <CharactersWithSpaces>3601</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2022-04-28T15:28:00Z</dcterms:created>
  <dc:creator>呼啸</dc:creator>
  <cp:lastModifiedBy>是尊贵的会员啊</cp:lastModifiedBy>
  <cp:lastPrinted>2022-05-30T09:00:00Z</cp:lastPrinted>
  <dcterms:modified xsi:type="dcterms:W3CDTF">2025-12-31T11:07:24Z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649DF1EB244141C78AA8D5E1FAC66830</vt:lpwstr>
  </property>
</Properties>
</file>