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7C56D">
      <w:pPr>
        <w:keepNext w:val="0"/>
        <w:keepLines w:val="0"/>
        <w:pageBreakBefore w:val="0"/>
        <w:widowControl w:val="0"/>
        <w:kinsoku/>
        <w:wordWrap/>
        <w:overflowPunct/>
        <w:topLinePunct w:val="0"/>
        <w:autoSpaceDE/>
        <w:autoSpaceDN/>
        <w:bidi w:val="0"/>
        <w:adjustRightInd/>
        <w:snapToGrid/>
        <w:spacing w:before="0" w:after="0" w:line="606"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lang w:val="en-US" w:eastAsia="zh-CN"/>
        </w:rPr>
        <w:t>沁水县人民政府</w:t>
      </w:r>
    </w:p>
    <w:p w14:paraId="03A73EC0">
      <w:pPr>
        <w:keepNext w:val="0"/>
        <w:keepLines w:val="0"/>
        <w:pageBreakBefore w:val="0"/>
        <w:widowControl w:val="0"/>
        <w:kinsoku/>
        <w:wordWrap/>
        <w:overflowPunct/>
        <w:topLinePunct w:val="0"/>
        <w:autoSpaceDE/>
        <w:autoSpaceDN/>
        <w:bidi w:val="0"/>
        <w:adjustRightInd/>
        <w:snapToGrid/>
        <w:spacing w:before="0" w:after="0" w:line="606" w:lineRule="exact"/>
        <w:textAlignment w:val="auto"/>
        <w:outlineLvl w:val="9"/>
        <w:rPr>
          <w:rFonts w:hint="eastAsia" w:ascii="方正小标宋简体" w:hAnsi="方正小标宋简体" w:eastAsia="方正小标宋简体" w:cs="方正小标宋简体"/>
          <w:color w:val="auto"/>
          <w:spacing w:val="0"/>
          <w:sz w:val="44"/>
          <w:szCs w:val="44"/>
          <w:u w:val="single"/>
        </w:rPr>
      </w:pPr>
      <w:r>
        <w:rPr>
          <w:rFonts w:hint="eastAsia" w:ascii="方正小标宋简体" w:hAnsi="方正小标宋简体" w:eastAsia="方正小标宋简体" w:cs="方正小标宋简体"/>
          <w:color w:val="auto"/>
          <w:spacing w:val="0"/>
          <w:sz w:val="44"/>
          <w:szCs w:val="44"/>
          <w:u w:val="single"/>
        </w:rPr>
        <w:t xml:space="preserve">                                        </w:t>
      </w:r>
    </w:p>
    <w:p w14:paraId="7A03B3EA">
      <w:pPr>
        <w:keepNext w:val="0"/>
        <w:keepLines w:val="0"/>
        <w:pageBreakBefore w:val="0"/>
        <w:widowControl w:val="0"/>
        <w:kinsoku/>
        <w:wordWrap/>
        <w:overflowPunct/>
        <w:topLinePunct w:val="0"/>
        <w:autoSpaceDE/>
        <w:autoSpaceDN/>
        <w:bidi w:val="0"/>
        <w:adjustRightInd/>
        <w:snapToGrid/>
        <w:spacing w:before="0" w:after="0" w:line="606" w:lineRule="exact"/>
        <w:jc w:val="center"/>
        <w:textAlignment w:val="auto"/>
        <w:outlineLvl w:val="9"/>
        <w:rPr>
          <w:rFonts w:hint="eastAsia" w:ascii="方正小标宋简体" w:hAnsi="方正小标宋简体" w:eastAsia="方正小标宋简体" w:cs="方正小标宋简体"/>
          <w:color w:val="auto"/>
          <w:spacing w:val="0"/>
          <w:sz w:val="44"/>
          <w:szCs w:val="44"/>
        </w:rPr>
      </w:pPr>
    </w:p>
    <w:p w14:paraId="5B641630">
      <w:pPr>
        <w:keepNext w:val="0"/>
        <w:keepLines w:val="0"/>
        <w:pageBreakBefore w:val="0"/>
        <w:widowControl w:val="0"/>
        <w:kinsoku/>
        <w:wordWrap/>
        <w:overflowPunct/>
        <w:topLinePunct w:val="0"/>
        <w:autoSpaceDE/>
        <w:autoSpaceDN/>
        <w:bidi w:val="0"/>
        <w:adjustRightInd/>
        <w:snapToGrid/>
        <w:spacing w:before="0" w:after="0" w:line="606"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行政复议决定书</w:t>
      </w:r>
    </w:p>
    <w:p w14:paraId="2BABEBE5">
      <w:pPr>
        <w:keepNext w:val="0"/>
        <w:keepLines w:val="0"/>
        <w:pageBreakBefore w:val="0"/>
        <w:widowControl w:val="0"/>
        <w:kinsoku/>
        <w:wordWrap/>
        <w:overflowPunct/>
        <w:topLinePunct w:val="0"/>
        <w:autoSpaceDE/>
        <w:autoSpaceDN/>
        <w:bidi w:val="0"/>
        <w:adjustRightInd/>
        <w:snapToGrid/>
        <w:spacing w:before="0" w:after="0" w:line="606"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p>
    <w:p w14:paraId="75BAD747">
      <w:pPr>
        <w:keepNext w:val="0"/>
        <w:keepLines w:val="0"/>
        <w:pageBreakBefore w:val="0"/>
        <w:widowControl w:val="0"/>
        <w:kinsoku/>
        <w:wordWrap/>
        <w:overflowPunct/>
        <w:topLinePunct w:val="0"/>
        <w:autoSpaceDE/>
        <w:autoSpaceDN/>
        <w:bidi w:val="0"/>
        <w:adjustRightInd/>
        <w:snapToGrid/>
        <w:spacing w:before="0" w:after="0" w:line="606"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2023</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17</w:t>
      </w:r>
      <w:r>
        <w:rPr>
          <w:rFonts w:hint="eastAsia" w:ascii="仿宋_GB2312" w:hAnsi="仿宋_GB2312" w:eastAsia="仿宋_GB2312" w:cs="仿宋_GB2312"/>
          <w:color w:val="auto"/>
          <w:spacing w:val="0"/>
          <w:sz w:val="32"/>
          <w:szCs w:val="32"/>
        </w:rPr>
        <w:t>号</w:t>
      </w:r>
    </w:p>
    <w:p w14:paraId="1F003BD3">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申请人：沁水县某公司</w:t>
      </w:r>
    </w:p>
    <w:p w14:paraId="73902BF0">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法委托代理人：于某，山西某律师事务所律师</w:t>
      </w:r>
    </w:p>
    <w:p w14:paraId="428D518D">
      <w:pPr>
        <w:keepNext w:val="0"/>
        <w:keepLines w:val="0"/>
        <w:pageBreakBefore w:val="0"/>
        <w:widowControl w:val="0"/>
        <w:kinsoku/>
        <w:wordWrap/>
        <w:overflowPunct w:val="0"/>
        <w:topLinePunct w:val="0"/>
        <w:autoSpaceDE/>
        <w:autoSpaceDN/>
        <w:bidi w:val="0"/>
        <w:adjustRightInd w:val="0"/>
        <w:snapToGrid w:val="0"/>
        <w:spacing w:line="606" w:lineRule="exact"/>
        <w:ind w:firstLine="2880" w:firstLineChars="900"/>
        <w:textAlignment w:val="auto"/>
        <w:rPr>
          <w:rFonts w:hint="default" w:ascii="仿宋_GB2312" w:hAnsi="仿宋_GB2312" w:eastAsia="仿宋_GB2312" w:cs="仿宋_GB2312"/>
          <w:color w:val="000000"/>
          <w:spacing w:val="0"/>
          <w:sz w:val="32"/>
          <w:szCs w:val="32"/>
          <w:u w:val="none" w:color="000000"/>
          <w:rtl w:val="0"/>
          <w:lang w:val="en-US" w:eastAsia="zh-CN"/>
        </w:rPr>
      </w:pPr>
      <w:bookmarkStart w:id="5" w:name="_GoBack"/>
      <w:bookmarkEnd w:id="5"/>
      <w:r>
        <w:rPr>
          <w:rFonts w:hint="eastAsia" w:ascii="仿宋_GB2312" w:hAnsi="仿宋_GB2312" w:eastAsia="仿宋_GB2312" w:cs="仿宋_GB2312"/>
          <w:color w:val="000000"/>
          <w:spacing w:val="0"/>
          <w:sz w:val="32"/>
          <w:szCs w:val="32"/>
          <w:u w:val="none" w:color="000000"/>
          <w:rtl w:val="0"/>
          <w:lang w:val="en-US" w:eastAsia="zh-CN"/>
        </w:rPr>
        <w:t>介某，山西某律师事务所律师</w:t>
      </w:r>
    </w:p>
    <w:p w14:paraId="705690BE">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default"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被申请人：沁水县</w:t>
      </w:r>
      <w:r>
        <w:rPr>
          <w:rFonts w:hint="eastAsia" w:ascii="仿宋_GB2312" w:hAnsi="仿宋_GB2312" w:eastAsia="仿宋_GB2312" w:cs="仿宋_GB2312"/>
          <w:color w:val="000000"/>
          <w:spacing w:val="0"/>
          <w:sz w:val="32"/>
          <w:szCs w:val="32"/>
          <w:u w:val="none" w:color="000000"/>
          <w:rtl w:val="0"/>
          <w:lang w:val="en-US" w:eastAsia="zh-CN"/>
        </w:rPr>
        <w:t>人力资源和社会保障局</w:t>
      </w:r>
    </w:p>
    <w:p w14:paraId="0B470D59">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default"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住</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所：</w:t>
      </w:r>
      <w:r>
        <w:rPr>
          <w:rFonts w:hint="eastAsia" w:ascii="仿宋_GB2312" w:hAnsi="仿宋_GB2312" w:eastAsia="仿宋_GB2312" w:cs="仿宋_GB2312"/>
          <w:color w:val="000000"/>
          <w:spacing w:val="0"/>
          <w:sz w:val="32"/>
          <w:szCs w:val="32"/>
          <w:u w:val="none" w:color="000000"/>
          <w:rtl w:val="0"/>
          <w:lang w:val="zh-TW" w:eastAsia="zh-TW"/>
        </w:rPr>
        <w:t>沁水县新建</w:t>
      </w:r>
      <w:r>
        <w:rPr>
          <w:rFonts w:hint="eastAsia" w:ascii="仿宋_GB2312" w:hAnsi="仿宋_GB2312" w:eastAsia="仿宋_GB2312" w:cs="仿宋_GB2312"/>
          <w:color w:val="000000"/>
          <w:spacing w:val="0"/>
          <w:sz w:val="32"/>
          <w:szCs w:val="32"/>
          <w:u w:val="none" w:color="000000"/>
          <w:rtl w:val="0"/>
          <w:lang w:val="en-US" w:eastAsia="zh-CN"/>
        </w:rPr>
        <w:t>西街99号</w:t>
      </w:r>
    </w:p>
    <w:p w14:paraId="0356A63F">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color w:val="000000"/>
          <w:spacing w:val="0"/>
          <w:sz w:val="32"/>
          <w:szCs w:val="32"/>
          <w:u w:val="none" w:color="000000"/>
          <w:lang w:eastAsia="zh-CN"/>
        </w:rPr>
      </w:pPr>
      <w:r>
        <w:rPr>
          <w:rFonts w:hint="eastAsia" w:ascii="仿宋_GB2312" w:hAnsi="仿宋_GB2312" w:eastAsia="仿宋_GB2312" w:cs="仿宋_GB2312"/>
          <w:color w:val="000000"/>
          <w:spacing w:val="0"/>
          <w:sz w:val="32"/>
          <w:szCs w:val="32"/>
          <w:u w:val="none" w:color="000000"/>
          <w:rtl w:val="0"/>
          <w:lang w:val="en-US" w:eastAsia="zh-CN"/>
        </w:rPr>
        <w:t>单位负责人</w:t>
      </w:r>
      <w:r>
        <w:rPr>
          <w:rFonts w:ascii="仿宋_GB2312" w:hAnsi="仿宋_GB2312" w:eastAsia="仿宋_GB2312" w:cs="仿宋_GB2312"/>
          <w:color w:val="000000"/>
          <w:spacing w:val="0"/>
          <w:sz w:val="32"/>
          <w:szCs w:val="32"/>
          <w:u w:val="none" w:color="000000"/>
          <w:rtl w:val="0"/>
          <w:lang w:val="zh-TW" w:eastAsia="zh-TW"/>
        </w:rPr>
        <w:t>：</w:t>
      </w:r>
      <w:r>
        <w:rPr>
          <w:rFonts w:hint="eastAsia" w:ascii="仿宋_GB2312" w:hAnsi="仿宋_GB2312" w:eastAsia="仿宋_GB2312" w:cs="仿宋_GB2312"/>
          <w:color w:val="auto"/>
          <w:spacing w:val="0"/>
          <w:sz w:val="32"/>
          <w:szCs w:val="32"/>
          <w:u w:val="none" w:color="000000"/>
          <w:rtl w:val="0"/>
          <w:lang w:val="en-US" w:eastAsia="zh-CN"/>
        </w:rPr>
        <w:t>刘建庭</w:t>
      </w:r>
    </w:p>
    <w:p w14:paraId="10747C74">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default" w:ascii="仿宋_GB2312" w:hAnsi="仿宋_GB2312" w:eastAsia="仿宋_GB2312" w:cs="仿宋_GB2312"/>
          <w:b w:val="0"/>
          <w:bCs w:val="0"/>
          <w:color w:val="000000"/>
          <w:spacing w:val="0"/>
          <w:sz w:val="32"/>
          <w:szCs w:val="32"/>
          <w:u w:color="000000"/>
          <w:lang w:val="en-US" w:eastAsia="zh-CN"/>
        </w:rPr>
      </w:pPr>
      <w:r>
        <w:rPr>
          <w:rFonts w:hint="eastAsia" w:ascii="仿宋_GB2312" w:hAnsi="仿宋_GB2312" w:eastAsia="仿宋_GB2312" w:cs="仿宋_GB2312"/>
          <w:b w:val="0"/>
          <w:bCs w:val="0"/>
          <w:color w:val="000000"/>
          <w:spacing w:val="0"/>
          <w:sz w:val="32"/>
          <w:szCs w:val="32"/>
          <w:u w:color="000000"/>
          <w:lang w:val="en-US" w:eastAsia="zh-CN"/>
        </w:rPr>
        <w:t>第三人：常某</w:t>
      </w:r>
    </w:p>
    <w:p w14:paraId="696D5F15">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p>
    <w:p w14:paraId="402F4579">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申请人</w:t>
      </w:r>
      <w:r>
        <w:rPr>
          <w:rFonts w:hint="eastAsia" w:ascii="仿宋_GB2312" w:hAnsi="仿宋_GB2312" w:eastAsia="仿宋_GB2312" w:cs="仿宋_GB2312"/>
          <w:color w:val="000000"/>
          <w:spacing w:val="0"/>
          <w:sz w:val="32"/>
          <w:szCs w:val="32"/>
          <w:u w:val="none" w:color="000000"/>
          <w:rtl w:val="0"/>
          <w:lang w:val="en-US" w:eastAsia="zh-CN"/>
        </w:rPr>
        <w:t>对被申请人作出的编号为</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000000"/>
          <w:spacing w:val="0"/>
          <w:sz w:val="32"/>
          <w:szCs w:val="32"/>
          <w:u w:val="none" w:color="000000"/>
          <w:rtl w:val="0"/>
          <w:lang w:val="en-US" w:eastAsia="zh-CN"/>
        </w:rPr>
        <w:t>的工伤认定决定不服</w:t>
      </w:r>
      <w:r>
        <w:rPr>
          <w:rFonts w:ascii="仿宋_GB2312" w:hAnsi="仿宋_GB2312" w:eastAsia="仿宋_GB2312" w:cs="仿宋_GB2312"/>
          <w:color w:val="000000"/>
          <w:spacing w:val="0"/>
          <w:sz w:val="32"/>
          <w:szCs w:val="32"/>
          <w:u w:val="none" w:color="000000"/>
          <w:rtl w:val="0"/>
          <w:lang w:val="zh-TW" w:eastAsia="zh-TW"/>
        </w:rPr>
        <w:t>，向本机关</w:t>
      </w:r>
      <w:r>
        <w:rPr>
          <w:rFonts w:hint="eastAsia" w:ascii="仿宋_GB2312" w:hAnsi="仿宋_GB2312" w:eastAsia="仿宋_GB2312" w:cs="仿宋_GB2312"/>
          <w:color w:val="000000"/>
          <w:spacing w:val="0"/>
          <w:sz w:val="32"/>
          <w:szCs w:val="32"/>
          <w:u w:val="none" w:color="000000"/>
          <w:rtl w:val="0"/>
          <w:lang w:val="en-US" w:eastAsia="zh-CN"/>
        </w:rPr>
        <w:t>提出</w:t>
      </w:r>
      <w:r>
        <w:rPr>
          <w:rFonts w:ascii="仿宋_GB2312" w:hAnsi="仿宋_GB2312" w:eastAsia="仿宋_GB2312" w:cs="仿宋_GB2312"/>
          <w:color w:val="000000"/>
          <w:spacing w:val="0"/>
          <w:sz w:val="32"/>
          <w:szCs w:val="32"/>
          <w:u w:val="none" w:color="000000"/>
          <w:rtl w:val="0"/>
          <w:lang w:val="zh-TW" w:eastAsia="zh-TW"/>
        </w:rPr>
        <w:t>行政复议</w:t>
      </w:r>
      <w:r>
        <w:rPr>
          <w:rFonts w:hint="eastAsia" w:ascii="仿宋_GB2312" w:hAnsi="仿宋_GB2312" w:eastAsia="仿宋_GB2312" w:cs="仿宋_GB2312"/>
          <w:color w:val="000000"/>
          <w:spacing w:val="0"/>
          <w:sz w:val="32"/>
          <w:szCs w:val="32"/>
          <w:u w:val="none" w:color="000000"/>
          <w:rtl w:val="0"/>
          <w:lang w:val="en-US" w:eastAsia="zh-CN"/>
        </w:rPr>
        <w:t>申请</w:t>
      </w:r>
      <w:r>
        <w:rPr>
          <w:rFonts w:ascii="仿宋_GB2312" w:hAnsi="仿宋_GB2312" w:eastAsia="仿宋_GB2312" w:cs="仿宋_GB2312"/>
          <w:color w:val="000000"/>
          <w:spacing w:val="0"/>
          <w:sz w:val="32"/>
          <w:szCs w:val="32"/>
          <w:u w:val="none" w:color="000000"/>
          <w:rtl w:val="0"/>
          <w:lang w:val="zh-TW" w:eastAsia="zh-TW"/>
        </w:rPr>
        <w:t>，本机关依法受理</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en-US" w:eastAsia="zh-CN"/>
        </w:rPr>
        <w:t>通知第三人常某参加行政复议，并</w:t>
      </w:r>
      <w:r>
        <w:rPr>
          <w:rFonts w:hint="eastAsia" w:ascii="仿宋_GB2312" w:hAnsi="仿宋_GB2312" w:eastAsia="仿宋_GB2312" w:cs="仿宋_GB2312"/>
          <w:color w:val="000000"/>
          <w:spacing w:val="0"/>
          <w:sz w:val="32"/>
          <w:szCs w:val="32"/>
          <w:u w:val="none" w:color="000000"/>
          <w:rtl w:val="0"/>
          <w:lang w:val="zh-TW" w:eastAsia="zh-CN"/>
        </w:rPr>
        <w:t>向被申请人送达行政复议申请书副本和行政复议答复通知书，被申请人在法定期限内向本机关提交了书面答复及相关证据，</w:t>
      </w:r>
      <w:r>
        <w:rPr>
          <w:rFonts w:hint="eastAsia" w:ascii="仿宋_GB2312" w:hAnsi="仿宋_GB2312" w:eastAsia="仿宋_GB2312" w:cs="仿宋_GB2312"/>
          <w:color w:val="000000"/>
          <w:spacing w:val="0"/>
          <w:sz w:val="32"/>
          <w:szCs w:val="32"/>
          <w:u w:val="none" w:color="000000"/>
          <w:rtl w:val="0"/>
          <w:lang w:val="en-US" w:eastAsia="zh-CN"/>
        </w:rPr>
        <w:t>第三人未提交答复及证据。本机关听取了申请人、被申请人、第三人的意见，</w:t>
      </w:r>
      <w:r>
        <w:rPr>
          <w:rFonts w:ascii="仿宋_GB2312" w:hAnsi="仿宋_GB2312" w:eastAsia="仿宋_GB2312" w:cs="仿宋_GB2312"/>
          <w:color w:val="000000"/>
          <w:spacing w:val="0"/>
          <w:sz w:val="32"/>
          <w:szCs w:val="32"/>
          <w:u w:val="none" w:color="000000"/>
          <w:rtl w:val="0"/>
          <w:lang w:val="zh-TW" w:eastAsia="zh-TW"/>
        </w:rPr>
        <w:t>现已审理终结。</w:t>
      </w:r>
    </w:p>
    <w:p w14:paraId="779A7734">
      <w:pPr>
        <w:keepNext w:val="0"/>
        <w:keepLines w:val="0"/>
        <w:pageBreakBefore w:val="0"/>
        <w:widowControl w:val="0"/>
        <w:kinsoku/>
        <w:wordWrap/>
        <w:overflowPunct w:val="0"/>
        <w:topLinePunct w:val="0"/>
        <w:autoSpaceDE/>
        <w:autoSpaceDN/>
        <w:bidi w:val="0"/>
        <w:adjustRightInd w:val="0"/>
        <w:snapToGrid w:val="0"/>
        <w:spacing w:line="606"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申请人请求：</w:t>
      </w:r>
    </w:p>
    <w:p w14:paraId="06102B6C">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依法</w:t>
      </w:r>
      <w:r>
        <w:rPr>
          <w:rFonts w:hint="default" w:ascii="仿宋_GB2312" w:hAnsi="仿宋_GB2312" w:eastAsia="仿宋_GB2312" w:cs="仿宋_GB2312"/>
          <w:b w:val="0"/>
          <w:bCs w:val="0"/>
          <w:color w:val="000000"/>
          <w:spacing w:val="0"/>
          <w:sz w:val="32"/>
          <w:szCs w:val="32"/>
          <w:u w:val="none" w:color="000000"/>
          <w:rtl w:val="0"/>
          <w:lang w:val="en-US" w:eastAsia="zh-CN"/>
        </w:rPr>
        <w:t>撤销被</w:t>
      </w:r>
      <w:r>
        <w:rPr>
          <w:rFonts w:hint="eastAsia" w:ascii="仿宋_GB2312" w:hAnsi="仿宋_GB2312" w:eastAsia="仿宋_GB2312" w:cs="仿宋_GB2312"/>
          <w:b w:val="0"/>
          <w:bCs w:val="0"/>
          <w:color w:val="000000"/>
          <w:spacing w:val="0"/>
          <w:sz w:val="32"/>
          <w:szCs w:val="32"/>
          <w:u w:val="none" w:color="000000"/>
          <w:rtl w:val="0"/>
          <w:lang w:val="en-US" w:eastAsia="zh-CN"/>
        </w:rPr>
        <w:t>申请人作出的</w:t>
      </w:r>
      <w:r>
        <w:rPr>
          <w:rFonts w:hint="default" w:ascii="仿宋_GB2312" w:hAnsi="仿宋_GB2312" w:eastAsia="仿宋_GB2312" w:cs="仿宋_GB2312"/>
          <w:b w:val="0"/>
          <w:bCs w:val="0"/>
          <w:color w:val="000000"/>
          <w:spacing w:val="0"/>
          <w:sz w:val="32"/>
          <w:szCs w:val="32"/>
          <w:u w:val="none" w:color="000000"/>
          <w:rtl w:val="0"/>
          <w:lang w:val="en-US" w:eastAsia="zh-CN"/>
        </w:rPr>
        <w:t>编号</w:t>
      </w:r>
      <w:r>
        <w:rPr>
          <w:rFonts w:hint="eastAsia" w:ascii="仿宋_GB2312" w:hAnsi="仿宋_GB2312" w:eastAsia="仿宋_GB2312" w:cs="仿宋_GB2312"/>
          <w:b w:val="0"/>
          <w:bCs w:val="0"/>
          <w:color w:val="000000"/>
          <w:spacing w:val="0"/>
          <w:sz w:val="32"/>
          <w:szCs w:val="32"/>
          <w:u w:val="none" w:color="000000"/>
          <w:rtl w:val="0"/>
          <w:lang w:val="en-US" w:eastAsia="zh-CN"/>
        </w:rPr>
        <w:t>为</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000000"/>
          <w:spacing w:val="0"/>
          <w:sz w:val="32"/>
          <w:szCs w:val="32"/>
          <w:u w:val="none" w:color="000000"/>
          <w:rtl w:val="0"/>
          <w:lang w:val="en-US" w:eastAsia="zh-CN"/>
        </w:rPr>
        <w:t>的《认定工伤决定书》，认定常某不属于工伤。</w:t>
      </w:r>
    </w:p>
    <w:p w14:paraId="7F6A1F56">
      <w:pPr>
        <w:keepNext w:val="0"/>
        <w:keepLines w:val="0"/>
        <w:pageBreakBefore w:val="0"/>
        <w:widowControl w:val="0"/>
        <w:kinsoku/>
        <w:wordWrap/>
        <w:overflowPunct w:val="0"/>
        <w:topLinePunct w:val="0"/>
        <w:autoSpaceDE/>
        <w:autoSpaceDN/>
        <w:bidi w:val="0"/>
        <w:adjustRightInd w:val="0"/>
        <w:snapToGrid w:val="0"/>
        <w:spacing w:line="606" w:lineRule="exact"/>
        <w:ind w:left="0" w:firstLine="643" w:firstLineChars="200"/>
        <w:textAlignment w:val="auto"/>
        <w:rPr>
          <w:rFonts w:hint="eastAsia" w:ascii="楷体_GB2312" w:hAnsi="楷体_GB2312" w:eastAsia="楷体_GB2312" w:cs="楷体_GB2312"/>
          <w:b/>
          <w:bCs/>
          <w:color w:val="000000"/>
          <w:spacing w:val="0"/>
          <w:sz w:val="32"/>
          <w:szCs w:val="32"/>
          <w:u w:color="000000"/>
          <w:rtl w:val="0"/>
          <w:lang w:val="zh-TW" w:eastAsia="zh-TW"/>
        </w:rPr>
      </w:pPr>
      <w:r>
        <w:rPr>
          <w:rFonts w:hint="eastAsia" w:ascii="楷体_GB2312" w:hAnsi="楷体_GB2312" w:eastAsia="楷体_GB2312" w:cs="楷体_GB2312"/>
          <w:b/>
          <w:bCs/>
          <w:color w:val="000000"/>
          <w:spacing w:val="0"/>
          <w:sz w:val="32"/>
          <w:szCs w:val="32"/>
          <w:u w:color="000000"/>
          <w:rtl w:val="0"/>
          <w:lang w:val="zh-TW" w:eastAsia="zh-TW"/>
        </w:rPr>
        <w:t>申请人称：</w:t>
      </w:r>
    </w:p>
    <w:p w14:paraId="5C369D88">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申请人在日常经营管理中已经进行了合理的业务培训和安全教育，常某受伤是因为其操作不当，自身失误，常某完全有能力避免其自身受到伤害。而且常某受伤时间是</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年</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月</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日，当天正是五一劳动节法定假期期间，不属于上班时间。    综上所述，申请人申请撤销</w:t>
      </w:r>
      <w:r>
        <w:rPr>
          <w:rFonts w:hint="default" w:ascii="仿宋_GB2312" w:hAnsi="仿宋_GB2312" w:eastAsia="仿宋_GB2312" w:cs="仿宋_GB2312"/>
          <w:b w:val="0"/>
          <w:bCs w:val="0"/>
          <w:color w:val="000000"/>
          <w:spacing w:val="0"/>
          <w:sz w:val="32"/>
          <w:szCs w:val="32"/>
          <w:u w:val="none" w:color="000000"/>
          <w:rtl w:val="0"/>
          <w:lang w:val="en-US" w:eastAsia="zh-CN"/>
        </w:rPr>
        <w:t>被</w:t>
      </w:r>
      <w:r>
        <w:rPr>
          <w:rFonts w:hint="eastAsia" w:ascii="仿宋_GB2312" w:hAnsi="仿宋_GB2312" w:eastAsia="仿宋_GB2312" w:cs="仿宋_GB2312"/>
          <w:b w:val="0"/>
          <w:bCs w:val="0"/>
          <w:color w:val="000000"/>
          <w:spacing w:val="0"/>
          <w:sz w:val="32"/>
          <w:szCs w:val="32"/>
          <w:u w:val="none" w:color="000000"/>
          <w:rtl w:val="0"/>
          <w:lang w:val="en-US" w:eastAsia="zh-CN"/>
        </w:rPr>
        <w:t>申请人作出的</w:t>
      </w:r>
      <w:r>
        <w:rPr>
          <w:rFonts w:hint="default" w:ascii="仿宋_GB2312" w:hAnsi="仿宋_GB2312" w:eastAsia="仿宋_GB2312" w:cs="仿宋_GB2312"/>
          <w:b w:val="0"/>
          <w:bCs w:val="0"/>
          <w:color w:val="000000"/>
          <w:spacing w:val="0"/>
          <w:sz w:val="32"/>
          <w:szCs w:val="32"/>
          <w:u w:val="none" w:color="000000"/>
          <w:rtl w:val="0"/>
          <w:lang w:val="en-US" w:eastAsia="zh-CN"/>
        </w:rPr>
        <w:t>编号</w:t>
      </w:r>
      <w:r>
        <w:rPr>
          <w:rFonts w:hint="eastAsia" w:ascii="仿宋_GB2312" w:hAnsi="仿宋_GB2312" w:eastAsia="仿宋_GB2312" w:cs="仿宋_GB2312"/>
          <w:b w:val="0"/>
          <w:bCs w:val="0"/>
          <w:color w:val="000000"/>
          <w:spacing w:val="0"/>
          <w:sz w:val="32"/>
          <w:szCs w:val="32"/>
          <w:u w:val="none" w:color="000000"/>
          <w:rtl w:val="0"/>
          <w:lang w:val="en-US" w:eastAsia="zh-CN"/>
        </w:rPr>
        <w:t>为</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000000"/>
          <w:spacing w:val="0"/>
          <w:sz w:val="32"/>
          <w:szCs w:val="32"/>
          <w:u w:val="none" w:color="000000"/>
          <w:rtl w:val="0"/>
          <w:lang w:val="en-US" w:eastAsia="zh-CN"/>
        </w:rPr>
        <w:t>的《认定工伤决定书》，认定常某不属于工伤。</w:t>
      </w:r>
    </w:p>
    <w:p w14:paraId="7FF926B6">
      <w:pPr>
        <w:keepNext w:val="0"/>
        <w:keepLines w:val="0"/>
        <w:pageBreakBefore w:val="0"/>
        <w:widowControl w:val="0"/>
        <w:kinsoku/>
        <w:wordWrap/>
        <w:overflowPunct w:val="0"/>
        <w:topLinePunct w:val="0"/>
        <w:autoSpaceDE/>
        <w:autoSpaceDN/>
        <w:bidi w:val="0"/>
        <w:adjustRightInd w:val="0"/>
        <w:snapToGrid w:val="0"/>
        <w:spacing w:line="606"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被申请人称：</w:t>
      </w:r>
    </w:p>
    <w:p w14:paraId="7B589786">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常某于向沁水县人力资源和社会保障局（以下简称“我局”）提出关于本人的工伤认定申请，称其于在沁水县某公司寺河洗煤厂集装箱旁整理煤炭时，从3米高的平台上摔下导致受伤。并提交下列材料：1、工伤认定申请表；2、常某身份证复印件；3、诊断证明书、入院证、出院证、病历；4、沁劳人仲裁字</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号裁决书；5、授权委托书；6、被委托人证件（律师证）；7、晋城市城区某法律服务所公函(</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)光字第</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w:t>
      </w:r>
    </w:p>
    <w:p w14:paraId="189F1504">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常某提出的工伤认定申请手续齐全，符合《工伤保险条例》受理范围，我局出具了《材料接收通知单》，并经审核后下达了《工伤认定申请受理决定书》。我局向该单位下达了《工伤认定举证通知书》，并向该单位办事员都海鸥了解情况，确认常某申请工伤所述情况属实，受伤后是由都海鸥将伤者送往医院治疗的。</w:t>
      </w:r>
    </w:p>
    <w:p w14:paraId="09A833B5">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沁水县某公司向我局提供了公司营业执照复印件和情况说明。该说明中并无证据证明常某同志不是因工作受到事故伤害的。</w:t>
      </w:r>
    </w:p>
    <w:p w14:paraId="57309EF4">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因此，我局于作出了《认定工伤决定书》</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w:t>
      </w:r>
    </w:p>
    <w:p w14:paraId="72EE103F">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依据如下：</w:t>
      </w:r>
    </w:p>
    <w:p w14:paraId="549B9EF0">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一、《工伤保险条例》第十九条第二款规定：“职工或者其近亲属认为是工伤，用人单位不认为是工伤的，由用人单位承担举证责任。”《工伤认定办法》第十七条规定：“职工或者其近亲属认为是工伤，用人单位不认为是工伤的，由该用人单位承担举证责任。用人单位拒不举证的，社会保险行政部门可以根据受伤害职工提供的证据或者调查取得的证据，依法作出工伤认定决定。”</w:t>
      </w:r>
    </w:p>
    <w:p w14:paraId="173EFF3A">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二、申请人所提出“常某同志受伤是因为其操作不当，自身失误，完全有能力避免其自身受到伤害”，由此，用人单位认可常某同志是在工作时间和工作场所内因工作原因受到事故伤害的。</w:t>
      </w:r>
    </w:p>
    <w:p w14:paraId="710AC9D5">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中华人民共和国社会保险法》第三十六条第一款规定：“职工因工作原因受到事故伤害或者患职业病，且经工伤认定的，享受工伤保险待遇。”因此，无论工伤职工在工作中是否存在过错都不影响其认定为工伤和享受工伤保险待遇。</w:t>
      </w:r>
    </w:p>
    <w:p w14:paraId="79BBEFD0">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三、申请人所提出的“五一劳动节法定假日期间，不属于上班时间”，不是不予认定工伤的理由。只要是在工作时间和工作场所内，因工作原因受到事故伤害的就可以认定为工伤。</w:t>
      </w:r>
    </w:p>
    <w:p w14:paraId="49D972A1">
      <w:pPr>
        <w:keepNext w:val="0"/>
        <w:keepLines w:val="0"/>
        <w:pageBreakBefore w:val="0"/>
        <w:widowControl w:val="0"/>
        <w:kinsoku/>
        <w:wordWrap/>
        <w:overflowPunct w:val="0"/>
        <w:topLinePunct w:val="0"/>
        <w:autoSpaceDE/>
        <w:autoSpaceDN/>
        <w:bidi w:val="0"/>
        <w:adjustRightInd w:val="0"/>
        <w:snapToGrid w:val="0"/>
        <w:spacing w:line="606"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综上，常某在申请人工作地点因工作原因受到事故伤害一案，我局所做出的结论事实清楚、证据充分、适用法律正确，请求沁水县人民政府驳回被申请人的申请。</w:t>
      </w:r>
    </w:p>
    <w:p w14:paraId="7939BED9">
      <w:pPr>
        <w:keepNext w:val="0"/>
        <w:keepLines w:val="0"/>
        <w:pageBreakBefore w:val="0"/>
        <w:widowControl w:val="0"/>
        <w:kinsoku/>
        <w:wordWrap/>
        <w:overflowPunct w:val="0"/>
        <w:topLinePunct w:val="0"/>
        <w:autoSpaceDE/>
        <w:autoSpaceDN/>
        <w:bidi w:val="0"/>
        <w:adjustRightInd w:val="0"/>
        <w:snapToGrid w:val="0"/>
        <w:spacing w:line="606" w:lineRule="exact"/>
        <w:ind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本机关查明：</w:t>
      </w:r>
    </w:p>
    <w:p w14:paraId="1488D7B2">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申请人沁水县某公司成立于××××年×月×日，类型为有限责任公司（自然人独资），营业期限是××××年×月×日至长期。</w:t>
      </w:r>
    </w:p>
    <w:p w14:paraId="15963100">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ind w:firstLine="640" w:firstLineChars="200"/>
        <w:textAlignment w:val="auto"/>
        <w:rPr>
          <w:rFonts w:hint="default" w:ascii="仿宋_GB2312" w:hAnsi="仿宋_GB2312" w:eastAsia="仿宋_GB2312" w:cs="仿宋_GB2312"/>
          <w:color w:val="auto"/>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auto"/>
          <w:spacing w:val="0"/>
          <w:sz w:val="32"/>
          <w:szCs w:val="32"/>
          <w:u w:color="000000"/>
          <w:rtl w:val="0"/>
          <w:lang w:val="en-US" w:eastAsia="zh-CN"/>
        </w:rPr>
        <w:t>年</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auto"/>
          <w:spacing w:val="0"/>
          <w:sz w:val="32"/>
          <w:szCs w:val="32"/>
          <w:u w:color="000000"/>
          <w:rtl w:val="0"/>
          <w:lang w:val="en-US" w:eastAsia="zh-CN"/>
        </w:rPr>
        <w:t>月</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auto"/>
          <w:spacing w:val="0"/>
          <w:sz w:val="32"/>
          <w:szCs w:val="32"/>
          <w:u w:color="000000"/>
          <w:rtl w:val="0"/>
          <w:lang w:val="en-US" w:eastAsia="zh-CN"/>
        </w:rPr>
        <w:t>日</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auto"/>
          <w:spacing w:val="0"/>
          <w:sz w:val="32"/>
          <w:szCs w:val="32"/>
          <w:u w:color="000000"/>
          <w:rtl w:val="0"/>
          <w:lang w:val="en-US" w:eastAsia="zh-CN"/>
        </w:rPr>
        <w:t>时左右，常某在沁水县某公司，从三米高的平台掉下受伤。经晋城市人民医院和晋城市第二人民医院治疗，诊断为：胸椎压缩性骨折；腰椎压缩性骨折；头皮裂伤；指骨骨折、腰骶横突骨折。</w:t>
      </w:r>
    </w:p>
    <w:p w14:paraId="4752A18E">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沁水县劳动人事争议仲裁委员会作出沁劳人仲裁字×号《仲裁裁决书》，裁决书载明：常某到沁水县某公司工作，工种为杂工，双方未签订劳动合同。常某在工作中受伤，后被送往医院住院治疗，医疗费由沁水县某公司支付。常某与沁水县某公司起存在事实劳动关系。</w:t>
      </w:r>
    </w:p>
    <w:p w14:paraId="1817ADB1">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常某向被申请人沁水县人力资源和社会保障局提出工伤认定申请，提供了以下材料：1、工伤认定申请表；2、常某身份证复印件；3、诊断证明书、入院证、出院证、病历；4、沁劳人仲裁字×号裁决书；5、授权委托书；6、被委托人证件（律师证）；7、晋城市城区某法律服务所公函(××××)光字第×号。被申请人作出了编号为×××的《工伤认定申请受理决定书》。被申请人向沁水县某公司发出编号为×××的《工伤认定举证通知书》，沁水县某公司提供《情况说明》一份。</w:t>
      </w:r>
    </w:p>
    <w:p w14:paraId="25E6525D">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被申请人经审核及调查核实，作出了</w:t>
      </w:r>
      <w:r>
        <w:rPr>
          <w:rFonts w:hint="eastAsia" w:ascii="仿宋_GB2312" w:hAnsi="仿宋_GB2312" w:eastAsia="仿宋_GB2312" w:cs="仿宋_GB2312"/>
          <w:color w:val="000000"/>
          <w:spacing w:val="0"/>
          <w:sz w:val="32"/>
          <w:szCs w:val="32"/>
          <w:u w:val="none" w:color="000000"/>
          <w:rtl w:val="0"/>
          <w:lang w:val="en-US" w:eastAsia="zh-CN"/>
        </w:rPr>
        <w:t>编号为</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000000"/>
          <w:spacing w:val="0"/>
          <w:sz w:val="32"/>
          <w:szCs w:val="32"/>
          <w:u w:val="none" w:color="000000"/>
          <w:rtl w:val="0"/>
          <w:lang w:val="en-US" w:eastAsia="zh-CN"/>
        </w:rPr>
        <w:t>的《认定工伤决定书》，认定</w:t>
      </w:r>
      <w:r>
        <w:rPr>
          <w:rFonts w:hint="eastAsia" w:ascii="仿宋_GB2312" w:hAnsi="仿宋_GB2312" w:eastAsia="仿宋_GB2312" w:cs="仿宋_GB2312"/>
          <w:color w:val="000000"/>
          <w:spacing w:val="0"/>
          <w:sz w:val="32"/>
          <w:szCs w:val="32"/>
          <w:u w:color="000000"/>
          <w:rtl w:val="0"/>
          <w:lang w:val="en-US" w:eastAsia="zh-CN"/>
        </w:rPr>
        <w:t>常某受到事故伤害，符合《工伤保险条例》第三章第十四条第一款之规定，属于工伤认定范围，认定为工伤。</w:t>
      </w:r>
    </w:p>
    <w:p w14:paraId="1E7C4EC2">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ind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本机关认为：</w:t>
      </w:r>
    </w:p>
    <w:p w14:paraId="74D5FA43">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《中华人民共和国社会保险法》</w:t>
      </w:r>
      <w:r>
        <w:rPr>
          <w:rFonts w:hint="eastAsia" w:ascii="仿宋_GB2312" w:hAnsi="仿宋_GB2312" w:eastAsia="仿宋_GB2312" w:cs="仿宋_GB2312"/>
          <w:color w:val="000000"/>
          <w:spacing w:val="0"/>
          <w:sz w:val="32"/>
          <w:szCs w:val="32"/>
          <w:u w:color="000000"/>
          <w:rtl w:val="0"/>
          <w:lang w:val="en-US" w:eastAsia="zh-CN"/>
        </w:rPr>
        <w:t>第七条</w:t>
      </w:r>
      <w:bookmarkStart w:id="0" w:name="tiao_7_kuan_1"/>
      <w:bookmarkEnd w:id="0"/>
      <w:r>
        <w:rPr>
          <w:rFonts w:hint="eastAsia" w:ascii="仿宋_GB2312" w:hAnsi="仿宋_GB2312" w:eastAsia="仿宋_GB2312" w:cs="仿宋_GB2312"/>
          <w:color w:val="000000"/>
          <w:spacing w:val="0"/>
          <w:sz w:val="32"/>
          <w:szCs w:val="32"/>
          <w:u w:color="000000"/>
          <w:rtl w:val="0"/>
          <w:lang w:val="en-US" w:eastAsia="zh-CN"/>
        </w:rPr>
        <w:t>第二款规定：“县级以上地方人民政府社会保险行政部门负责本行政区域的社会保险管理工作，县级以上地方人民政府其他有关部门在各自的职责范围内负责有关的社会保险工作。”《工伤保险条例》第五条</w:t>
      </w:r>
      <w:bookmarkStart w:id="1" w:name="tiao_5_kuan_1"/>
      <w:bookmarkEnd w:id="1"/>
      <w:r>
        <w:rPr>
          <w:rFonts w:hint="eastAsia" w:ascii="仿宋_GB2312" w:hAnsi="仿宋_GB2312" w:eastAsia="仿宋_GB2312" w:cs="仿宋_GB2312"/>
          <w:color w:val="000000"/>
          <w:spacing w:val="0"/>
          <w:sz w:val="32"/>
          <w:szCs w:val="32"/>
          <w:u w:color="000000"/>
          <w:rtl w:val="0"/>
          <w:lang w:val="en-US" w:eastAsia="zh-CN"/>
        </w:rPr>
        <w:t>第二款</w:t>
      </w:r>
      <w:bookmarkStart w:id="2" w:name="tiao_5_kuan_2"/>
      <w:bookmarkEnd w:id="2"/>
      <w:r>
        <w:rPr>
          <w:rFonts w:hint="eastAsia" w:ascii="仿宋_GB2312" w:hAnsi="仿宋_GB2312" w:eastAsia="仿宋_GB2312" w:cs="仿宋_GB2312"/>
          <w:color w:val="000000"/>
          <w:spacing w:val="0"/>
          <w:sz w:val="32"/>
          <w:szCs w:val="32"/>
          <w:u w:color="000000"/>
          <w:rtl w:val="0"/>
          <w:lang w:val="en-US" w:eastAsia="zh-CN"/>
        </w:rPr>
        <w:t>规定：“县级以上地方各级人民政府社会保险行政部门负责本行政区域内的工伤保险工作。”</w:t>
      </w:r>
    </w:p>
    <w:p w14:paraId="00798061">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《工伤保险条例》第十四条</w:t>
      </w:r>
      <w:bookmarkStart w:id="3" w:name="tiao_14_kuan_1"/>
      <w:bookmarkEnd w:id="3"/>
      <w:r>
        <w:rPr>
          <w:rFonts w:hint="eastAsia" w:ascii="仿宋_GB2312" w:hAnsi="仿宋_GB2312" w:eastAsia="仿宋_GB2312" w:cs="仿宋_GB2312"/>
          <w:color w:val="000000"/>
          <w:spacing w:val="0"/>
          <w:sz w:val="32"/>
          <w:szCs w:val="32"/>
          <w:u w:color="000000"/>
          <w:rtl w:val="0"/>
          <w:lang w:val="en-US" w:eastAsia="zh-CN"/>
        </w:rPr>
        <w:t>第一项规定：“职工有下列情形之一的，应当认定为工伤：</w:t>
      </w:r>
      <w:r>
        <w:rPr>
          <w:rFonts w:hint="eastAsia" w:ascii="仿宋_GB2312" w:hAnsi="仿宋_GB2312" w:eastAsia="仿宋_GB2312" w:cs="仿宋_GB2312"/>
          <w:color w:val="000000"/>
          <w:spacing w:val="0"/>
          <w:sz w:val="32"/>
          <w:szCs w:val="32"/>
          <w:u w:color="000000"/>
          <w:rtl w:val="0"/>
          <w:lang w:val="en-US" w:eastAsia="zh-CN"/>
        </w:rPr>
        <w:fldChar w:fldCharType="begin"/>
      </w:r>
      <w:r>
        <w:rPr>
          <w:rFonts w:hint="eastAsia" w:ascii="仿宋_GB2312" w:hAnsi="仿宋_GB2312" w:eastAsia="仿宋_GB2312" w:cs="仿宋_GB2312"/>
          <w:color w:val="000000"/>
          <w:spacing w:val="0"/>
          <w:sz w:val="32"/>
          <w:szCs w:val="32"/>
          <w:u w:color="000000"/>
          <w:rtl w:val="0"/>
          <w:lang w:val="en-US" w:eastAsia="zh-CN"/>
        </w:rPr>
        <w:instrText xml:space="preserve"> HYPERLINK "javascript:void(0);" </w:instrText>
      </w:r>
      <w:r>
        <w:rPr>
          <w:rFonts w:hint="eastAsia" w:ascii="仿宋_GB2312" w:hAnsi="仿宋_GB2312" w:eastAsia="仿宋_GB2312" w:cs="仿宋_GB2312"/>
          <w:color w:val="000000"/>
          <w:spacing w:val="0"/>
          <w:sz w:val="32"/>
          <w:szCs w:val="32"/>
          <w:u w:color="000000"/>
          <w:rtl w:val="0"/>
          <w:lang w:val="en-US" w:eastAsia="zh-CN"/>
        </w:rPr>
        <w:fldChar w:fldCharType="separate"/>
      </w:r>
      <w:r>
        <w:rPr>
          <w:rFonts w:hint="eastAsia" w:ascii="仿宋_GB2312" w:hAnsi="仿宋_GB2312" w:eastAsia="仿宋_GB2312" w:cs="仿宋_GB2312"/>
          <w:color w:val="000000"/>
          <w:spacing w:val="0"/>
          <w:sz w:val="32"/>
          <w:szCs w:val="32"/>
          <w:u w:color="000000"/>
          <w:rtl w:val="0"/>
          <w:lang w:val="en-US" w:eastAsia="zh-CN"/>
        </w:rPr>
        <w:fldChar w:fldCharType="end"/>
      </w:r>
      <w:bookmarkStart w:id="4" w:name="tiao_14_kuan_1_xiang_1"/>
      <w:bookmarkEnd w:id="4"/>
      <w:r>
        <w:rPr>
          <w:rFonts w:hint="eastAsia" w:ascii="仿宋_GB2312" w:hAnsi="仿宋_GB2312" w:eastAsia="仿宋_GB2312" w:cs="仿宋_GB2312"/>
          <w:color w:val="000000"/>
          <w:spacing w:val="0"/>
          <w:sz w:val="32"/>
          <w:szCs w:val="32"/>
          <w:u w:color="000000"/>
          <w:rtl w:val="0"/>
          <w:lang w:val="en-US" w:eastAsia="zh-CN"/>
        </w:rPr>
        <w:t>（一）在工作时间和工作场所内，因工作原因受到事故伤害的。”第十六条规定：“职工符合本条例第十四条、第十五条的规定，但是有下列情形之一的，不得认定为工伤或者视同工伤：（一）故意犯罪的；（二）醉酒或者吸毒的；（三）自残或者自杀的。”第十七条第二款规定：“用人单位未按前款规定提出工伤认定申请的，工伤职工或者其近亲属、工会组织在事故伤害发生之日或者被诊断、鉴定为职业病之日起1年内，可以直接向用人单位所在地统筹地区社会保险行政部门提出工伤认定申请。”第十九条规定：“社会保险行政部门受理工伤认定申请后，根据审核需要可以对事故伤害进行调查核实，用人单位、职工、工会组织、医疗机构以及有关部门应当予以协助。职业病诊断和诊断争议的鉴定，依照职业病防治法的有关规定执行。对依法取得职业病诊断证明书或者职业病诊断鉴定书的，社会保险行政部门不再进行调查核实。职工或者其近亲属认为是工伤，用人单位不认为是工伤的，由用人单位承担举证责任。”第二十条第一款规定：“社会保险行政部门应当自受理工伤认定申请之日起60日内作出工伤认定的决定，并书面通知申请工伤认定的职工或者其近亲属和该职工所在单位。”</w:t>
      </w:r>
      <w:r>
        <w:rPr>
          <w:rFonts w:hint="eastAsia" w:ascii="仿宋_GB2312" w:hAnsi="仿宋_GB2312" w:eastAsia="仿宋_GB2312" w:cs="仿宋_GB2312"/>
          <w:color w:val="000000"/>
          <w:spacing w:val="0"/>
          <w:sz w:val="32"/>
          <w:szCs w:val="32"/>
          <w:u w:color="000000"/>
          <w:rtl w:val="0"/>
          <w:lang w:val="en-US" w:eastAsia="zh-CN"/>
        </w:rPr>
        <w:fldChar w:fldCharType="begin"/>
      </w:r>
      <w:r>
        <w:rPr>
          <w:rFonts w:hint="eastAsia" w:ascii="仿宋_GB2312" w:hAnsi="仿宋_GB2312" w:eastAsia="仿宋_GB2312" w:cs="仿宋_GB2312"/>
          <w:color w:val="000000"/>
          <w:spacing w:val="0"/>
          <w:sz w:val="32"/>
          <w:szCs w:val="32"/>
          <w:u w:color="000000"/>
          <w:rtl w:val="0"/>
          <w:lang w:val="en-US" w:eastAsia="zh-CN"/>
        </w:rPr>
        <w:instrText xml:space="preserve"> HYPERLINK "javascript:void(0);" </w:instrText>
      </w:r>
      <w:r>
        <w:rPr>
          <w:rFonts w:hint="eastAsia" w:ascii="仿宋_GB2312" w:hAnsi="仿宋_GB2312" w:eastAsia="仿宋_GB2312" w:cs="仿宋_GB2312"/>
          <w:color w:val="000000"/>
          <w:spacing w:val="0"/>
          <w:sz w:val="32"/>
          <w:szCs w:val="32"/>
          <w:u w:color="000000"/>
          <w:rtl w:val="0"/>
          <w:lang w:val="en-US" w:eastAsia="zh-CN"/>
        </w:rPr>
        <w:fldChar w:fldCharType="separate"/>
      </w:r>
      <w:r>
        <w:rPr>
          <w:rFonts w:hint="eastAsia" w:ascii="仿宋_GB2312" w:hAnsi="仿宋_GB2312" w:eastAsia="仿宋_GB2312" w:cs="仿宋_GB2312"/>
          <w:color w:val="000000"/>
          <w:spacing w:val="0"/>
          <w:sz w:val="32"/>
          <w:szCs w:val="32"/>
          <w:u w:color="000000"/>
          <w:rtl w:val="0"/>
          <w:lang w:val="en-US" w:eastAsia="zh-CN"/>
        </w:rPr>
        <w:fldChar w:fldCharType="end"/>
      </w:r>
      <w:r>
        <w:rPr>
          <w:rFonts w:hint="eastAsia" w:ascii="仿宋_GB2312" w:hAnsi="仿宋_GB2312" w:eastAsia="仿宋_GB2312" w:cs="仿宋_GB2312"/>
          <w:color w:val="000000"/>
          <w:spacing w:val="0"/>
          <w:sz w:val="32"/>
          <w:szCs w:val="32"/>
          <w:u w:color="000000"/>
          <w:rtl w:val="0"/>
          <w:lang w:val="en-US" w:eastAsia="zh-CN"/>
        </w:rPr>
        <w:fldChar w:fldCharType="begin"/>
      </w:r>
      <w:r>
        <w:rPr>
          <w:rFonts w:hint="eastAsia" w:ascii="仿宋_GB2312" w:hAnsi="仿宋_GB2312" w:eastAsia="仿宋_GB2312" w:cs="仿宋_GB2312"/>
          <w:color w:val="000000"/>
          <w:spacing w:val="0"/>
          <w:sz w:val="32"/>
          <w:szCs w:val="32"/>
          <w:u w:color="000000"/>
          <w:rtl w:val="0"/>
          <w:lang w:val="en-US" w:eastAsia="zh-CN"/>
        </w:rPr>
        <w:instrText xml:space="preserve"> HYPERLINK "javascript:void(0);" </w:instrText>
      </w:r>
      <w:r>
        <w:rPr>
          <w:rFonts w:hint="eastAsia" w:ascii="仿宋_GB2312" w:hAnsi="仿宋_GB2312" w:eastAsia="仿宋_GB2312" w:cs="仿宋_GB2312"/>
          <w:color w:val="000000"/>
          <w:spacing w:val="0"/>
          <w:sz w:val="32"/>
          <w:szCs w:val="32"/>
          <w:u w:color="000000"/>
          <w:rtl w:val="0"/>
          <w:lang w:val="en-US" w:eastAsia="zh-CN"/>
        </w:rPr>
        <w:fldChar w:fldCharType="separate"/>
      </w:r>
      <w:r>
        <w:rPr>
          <w:rFonts w:hint="eastAsia" w:ascii="仿宋_GB2312" w:hAnsi="仿宋_GB2312" w:eastAsia="仿宋_GB2312" w:cs="仿宋_GB2312"/>
          <w:color w:val="000000"/>
          <w:spacing w:val="0"/>
          <w:sz w:val="32"/>
          <w:szCs w:val="32"/>
          <w:u w:color="000000"/>
          <w:rtl w:val="0"/>
          <w:lang w:val="en-US" w:eastAsia="zh-CN"/>
        </w:rPr>
        <w:fldChar w:fldCharType="end"/>
      </w:r>
    </w:p>
    <w:p w14:paraId="6D27FD2E">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综上，</w:t>
      </w:r>
      <w:r>
        <w:rPr>
          <w:rFonts w:hint="eastAsia" w:ascii="仿宋_GB2312" w:hAnsi="仿宋_GB2312" w:eastAsia="仿宋_GB2312" w:cs="仿宋_GB2312"/>
          <w:color w:val="000000"/>
          <w:spacing w:val="0"/>
          <w:sz w:val="32"/>
          <w:szCs w:val="32"/>
          <w:u w:color="000000"/>
          <w:rtl w:val="0"/>
          <w:lang w:val="en-US" w:eastAsia="zh-CN"/>
        </w:rPr>
        <w:fldChar w:fldCharType="begin"/>
      </w:r>
      <w:r>
        <w:rPr>
          <w:rFonts w:hint="eastAsia" w:ascii="仿宋_GB2312" w:hAnsi="仿宋_GB2312" w:eastAsia="仿宋_GB2312" w:cs="仿宋_GB2312"/>
          <w:color w:val="000000"/>
          <w:spacing w:val="0"/>
          <w:sz w:val="32"/>
          <w:szCs w:val="32"/>
          <w:u w:color="000000"/>
          <w:rtl w:val="0"/>
          <w:lang w:val="en-US" w:eastAsia="zh-CN"/>
        </w:rPr>
        <w:instrText xml:space="preserve"> HYPERLINK "javascript:void(0);" </w:instrText>
      </w:r>
      <w:r>
        <w:rPr>
          <w:rFonts w:hint="eastAsia" w:ascii="仿宋_GB2312" w:hAnsi="仿宋_GB2312" w:eastAsia="仿宋_GB2312" w:cs="仿宋_GB2312"/>
          <w:color w:val="000000"/>
          <w:spacing w:val="0"/>
          <w:sz w:val="32"/>
          <w:szCs w:val="32"/>
          <w:u w:color="000000"/>
          <w:rtl w:val="0"/>
          <w:lang w:val="en-US" w:eastAsia="zh-CN"/>
        </w:rPr>
        <w:fldChar w:fldCharType="separate"/>
      </w:r>
      <w:r>
        <w:rPr>
          <w:rFonts w:hint="eastAsia" w:ascii="仿宋_GB2312" w:hAnsi="仿宋_GB2312" w:eastAsia="仿宋_GB2312" w:cs="仿宋_GB2312"/>
          <w:color w:val="000000"/>
          <w:spacing w:val="0"/>
          <w:sz w:val="32"/>
          <w:szCs w:val="32"/>
          <w:u w:color="000000"/>
          <w:rtl w:val="0"/>
          <w:lang w:val="en-US" w:eastAsia="zh-CN"/>
        </w:rPr>
        <w:fldChar w:fldCharType="end"/>
      </w:r>
      <w:r>
        <w:rPr>
          <w:rFonts w:hint="eastAsia" w:ascii="仿宋_GB2312" w:hAnsi="仿宋_GB2312" w:eastAsia="仿宋_GB2312" w:cs="仿宋_GB2312"/>
          <w:color w:val="000000"/>
          <w:spacing w:val="0"/>
          <w:sz w:val="32"/>
          <w:szCs w:val="32"/>
          <w:u w:color="000000"/>
          <w:rtl w:val="0"/>
          <w:lang w:val="en-US" w:eastAsia="zh-CN"/>
        </w:rPr>
        <w:fldChar w:fldCharType="begin"/>
      </w:r>
      <w:r>
        <w:rPr>
          <w:rFonts w:hint="eastAsia" w:ascii="仿宋_GB2312" w:hAnsi="仿宋_GB2312" w:eastAsia="仿宋_GB2312" w:cs="仿宋_GB2312"/>
          <w:color w:val="000000"/>
          <w:spacing w:val="0"/>
          <w:sz w:val="32"/>
          <w:szCs w:val="32"/>
          <w:u w:color="000000"/>
          <w:rtl w:val="0"/>
          <w:lang w:val="en-US" w:eastAsia="zh-CN"/>
        </w:rPr>
        <w:instrText xml:space="preserve"> HYPERLINK "javascript:void(0);" </w:instrText>
      </w:r>
      <w:r>
        <w:rPr>
          <w:rFonts w:hint="eastAsia" w:ascii="仿宋_GB2312" w:hAnsi="仿宋_GB2312" w:eastAsia="仿宋_GB2312" w:cs="仿宋_GB2312"/>
          <w:color w:val="000000"/>
          <w:spacing w:val="0"/>
          <w:sz w:val="32"/>
          <w:szCs w:val="32"/>
          <w:u w:color="000000"/>
          <w:rtl w:val="0"/>
          <w:lang w:val="en-US" w:eastAsia="zh-CN"/>
        </w:rPr>
        <w:fldChar w:fldCharType="separate"/>
      </w:r>
      <w:r>
        <w:rPr>
          <w:rFonts w:hint="eastAsia" w:ascii="仿宋_GB2312" w:hAnsi="仿宋_GB2312" w:eastAsia="仿宋_GB2312" w:cs="仿宋_GB2312"/>
          <w:color w:val="000000"/>
          <w:spacing w:val="0"/>
          <w:sz w:val="32"/>
          <w:szCs w:val="32"/>
          <w:u w:color="000000"/>
          <w:rtl w:val="0"/>
          <w:lang w:val="en-US" w:eastAsia="zh-CN"/>
        </w:rPr>
        <w:fldChar w:fldCharType="end"/>
      </w:r>
      <w:r>
        <w:rPr>
          <w:rFonts w:hint="eastAsia" w:ascii="仿宋_GB2312" w:hAnsi="仿宋_GB2312" w:eastAsia="仿宋_GB2312" w:cs="仿宋_GB2312"/>
          <w:color w:val="000000"/>
          <w:spacing w:val="0"/>
          <w:sz w:val="32"/>
          <w:szCs w:val="32"/>
          <w:u w:color="000000"/>
          <w:rtl w:val="0"/>
          <w:lang w:val="en-US" w:eastAsia="zh-CN"/>
        </w:rPr>
        <w:t>常某在沁水县某公司寺河洗煤厂火车集装箱旁整理煤炭时，从三米高的平台掉下受伤。常某受到事故伤害，符合《工伤保险条例》第十四条第一款之规定，常某对事故的发生是否有过错、事故的发生时间是否属于法定节假日，不属于不得认定为工伤的法定情形。因此，被申请人认定常某为工伤的决定，事实清楚，证据确凿，适用依据正确，程序合法。</w:t>
      </w:r>
      <w:r>
        <w:rPr>
          <w:rFonts w:hint="eastAsia" w:ascii="仿宋_GB2312" w:hAnsi="仿宋_GB2312" w:eastAsia="仿宋_GB2312" w:cs="仿宋_GB2312"/>
          <w:color w:val="000000"/>
          <w:spacing w:val="0"/>
          <w:sz w:val="32"/>
          <w:szCs w:val="32"/>
          <w:u w:color="000000"/>
          <w:rtl w:val="0"/>
          <w:lang w:val="en-US" w:eastAsia="zh-CN"/>
        </w:rPr>
        <w:fldChar w:fldCharType="begin"/>
      </w:r>
      <w:r>
        <w:rPr>
          <w:rFonts w:hint="eastAsia" w:ascii="仿宋_GB2312" w:hAnsi="仿宋_GB2312" w:eastAsia="仿宋_GB2312" w:cs="仿宋_GB2312"/>
          <w:color w:val="000000"/>
          <w:spacing w:val="0"/>
          <w:sz w:val="32"/>
          <w:szCs w:val="32"/>
          <w:u w:color="000000"/>
          <w:rtl w:val="0"/>
          <w:lang w:val="en-US" w:eastAsia="zh-CN"/>
        </w:rPr>
        <w:instrText xml:space="preserve"> HYPERLINK "javascript:void(0);" </w:instrText>
      </w:r>
      <w:r>
        <w:rPr>
          <w:rFonts w:hint="eastAsia" w:ascii="仿宋_GB2312" w:hAnsi="仿宋_GB2312" w:eastAsia="仿宋_GB2312" w:cs="仿宋_GB2312"/>
          <w:color w:val="000000"/>
          <w:spacing w:val="0"/>
          <w:sz w:val="32"/>
          <w:szCs w:val="32"/>
          <w:u w:color="000000"/>
          <w:rtl w:val="0"/>
          <w:lang w:val="en-US" w:eastAsia="zh-CN"/>
        </w:rPr>
        <w:fldChar w:fldCharType="separate"/>
      </w:r>
      <w:r>
        <w:rPr>
          <w:rFonts w:hint="eastAsia" w:ascii="仿宋_GB2312" w:hAnsi="仿宋_GB2312" w:eastAsia="仿宋_GB2312" w:cs="仿宋_GB2312"/>
          <w:color w:val="000000"/>
          <w:spacing w:val="0"/>
          <w:sz w:val="32"/>
          <w:szCs w:val="32"/>
          <w:u w:color="000000"/>
          <w:rtl w:val="0"/>
          <w:lang w:val="en-US" w:eastAsia="zh-CN"/>
        </w:rPr>
        <w:fldChar w:fldCharType="end"/>
      </w:r>
    </w:p>
    <w:p w14:paraId="43DF7E05">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en-US" w:eastAsia="zh-CN"/>
        </w:rPr>
        <w:fldChar w:fldCharType="begin"/>
      </w:r>
      <w:r>
        <w:rPr>
          <w:rFonts w:hint="eastAsia" w:ascii="仿宋_GB2312" w:hAnsi="仿宋_GB2312" w:eastAsia="仿宋_GB2312" w:cs="仿宋_GB2312"/>
          <w:color w:val="000000"/>
          <w:spacing w:val="0"/>
          <w:sz w:val="32"/>
          <w:szCs w:val="32"/>
          <w:u w:color="000000"/>
          <w:rtl w:val="0"/>
          <w:lang w:val="en-US" w:eastAsia="zh-CN"/>
        </w:rPr>
        <w:instrText xml:space="preserve"> HYPERLINK "javascript:void(0);" </w:instrText>
      </w:r>
      <w:r>
        <w:rPr>
          <w:rFonts w:hint="eastAsia" w:ascii="仿宋_GB2312" w:hAnsi="仿宋_GB2312" w:eastAsia="仿宋_GB2312" w:cs="仿宋_GB2312"/>
          <w:color w:val="000000"/>
          <w:spacing w:val="0"/>
          <w:sz w:val="32"/>
          <w:szCs w:val="32"/>
          <w:u w:color="000000"/>
          <w:rtl w:val="0"/>
          <w:lang w:val="en-US" w:eastAsia="zh-CN"/>
        </w:rPr>
        <w:fldChar w:fldCharType="separate"/>
      </w:r>
      <w:r>
        <w:rPr>
          <w:rFonts w:hint="eastAsia" w:ascii="仿宋_GB2312" w:hAnsi="仿宋_GB2312" w:eastAsia="仿宋_GB2312" w:cs="仿宋_GB2312"/>
          <w:color w:val="000000"/>
          <w:spacing w:val="0"/>
          <w:sz w:val="32"/>
          <w:szCs w:val="32"/>
          <w:u w:color="000000"/>
          <w:rtl w:val="0"/>
          <w:lang w:val="en-US" w:eastAsia="zh-CN"/>
        </w:rPr>
        <w:fldChar w:fldCharType="end"/>
      </w:r>
      <w:r>
        <w:rPr>
          <w:rFonts w:hint="eastAsia" w:ascii="仿宋_GB2312" w:hAnsi="仿宋_GB2312" w:eastAsia="仿宋_GB2312" w:cs="仿宋_GB2312"/>
          <w:color w:val="000000"/>
          <w:spacing w:val="0"/>
          <w:sz w:val="32"/>
          <w:szCs w:val="32"/>
          <w:u w:color="000000"/>
          <w:rtl w:val="0"/>
          <w:lang w:val="en-US" w:eastAsia="zh-CN"/>
        </w:rPr>
        <w:t>综上，根据《</w:t>
      </w:r>
      <w:r>
        <w:rPr>
          <w:rFonts w:hint="eastAsia" w:ascii="仿宋_GB2312" w:hAnsi="仿宋_GB2312" w:eastAsia="仿宋_GB2312" w:cs="仿宋_GB2312"/>
          <w:color w:val="000000"/>
          <w:spacing w:val="0"/>
          <w:sz w:val="32"/>
          <w:szCs w:val="32"/>
          <w:u w:color="000000"/>
          <w:rtl w:val="0"/>
          <w:lang w:val="zh-TW" w:eastAsia="zh-TW"/>
        </w:rPr>
        <w:t>中华人民共和国行政复议法》第</w:t>
      </w:r>
      <w:r>
        <w:rPr>
          <w:rFonts w:hint="eastAsia" w:ascii="仿宋_GB2312" w:hAnsi="仿宋_GB2312" w:eastAsia="仿宋_GB2312" w:cs="仿宋_GB2312"/>
          <w:color w:val="000000"/>
          <w:spacing w:val="0"/>
          <w:sz w:val="32"/>
          <w:szCs w:val="32"/>
          <w:u w:color="000000"/>
          <w:rtl w:val="0"/>
          <w:lang w:val="en-US" w:eastAsia="zh-CN"/>
        </w:rPr>
        <w:t>六十八</w:t>
      </w:r>
      <w:r>
        <w:rPr>
          <w:rFonts w:hint="eastAsia" w:ascii="仿宋_GB2312" w:hAnsi="仿宋_GB2312" w:eastAsia="仿宋_GB2312" w:cs="仿宋_GB2312"/>
          <w:color w:val="000000"/>
          <w:spacing w:val="0"/>
          <w:sz w:val="32"/>
          <w:szCs w:val="32"/>
          <w:u w:color="000000"/>
          <w:rtl w:val="0"/>
          <w:lang w:val="zh-TW" w:eastAsia="zh-TW"/>
        </w:rPr>
        <w:t>条</w:t>
      </w:r>
      <w:r>
        <w:rPr>
          <w:rFonts w:hint="eastAsia" w:ascii="仿宋_GB2312" w:hAnsi="仿宋_GB2312" w:eastAsia="仿宋_GB2312" w:cs="仿宋_GB2312"/>
          <w:color w:val="000000"/>
          <w:spacing w:val="0"/>
          <w:sz w:val="32"/>
          <w:szCs w:val="32"/>
          <w:u w:color="000000"/>
          <w:rtl w:val="0"/>
          <w:lang w:val="en-US" w:eastAsia="zh-CN"/>
        </w:rPr>
        <w:t>之规定</w:t>
      </w:r>
      <w:r>
        <w:rPr>
          <w:rFonts w:hint="eastAsia" w:ascii="仿宋_GB2312" w:hAnsi="仿宋_GB2312" w:eastAsia="仿宋_GB2312" w:cs="仿宋_GB2312"/>
          <w:color w:val="000000"/>
          <w:spacing w:val="0"/>
          <w:sz w:val="32"/>
          <w:szCs w:val="32"/>
          <w:u w:color="000000"/>
          <w:rtl w:val="0"/>
          <w:lang w:val="zh-TW" w:eastAsia="zh-TW"/>
        </w:rPr>
        <w:t>，本机关决定：</w:t>
      </w:r>
    </w:p>
    <w:p w14:paraId="42A637BF">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维持被申请人作出的编号为×××的《认定工伤决定书》。</w:t>
      </w:r>
    </w:p>
    <w:p w14:paraId="774E8099">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ind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如对本复议决定不服，申请人可在收到复议决定之日起</w:t>
      </w:r>
      <w:r>
        <w:rPr>
          <w:rFonts w:hint="eastAsia" w:ascii="仿宋_GB2312" w:hAnsi="仿宋_GB2312" w:eastAsia="仿宋_GB2312" w:cs="仿宋_GB2312"/>
          <w:color w:val="000000"/>
          <w:spacing w:val="0"/>
          <w:sz w:val="32"/>
          <w:szCs w:val="32"/>
          <w:u w:color="000000"/>
          <w:rtl w:val="0"/>
          <w:lang w:val="en-US" w:eastAsia="zh-CN"/>
        </w:rPr>
        <w:t>15</w:t>
      </w:r>
      <w:r>
        <w:rPr>
          <w:rFonts w:hint="eastAsia" w:ascii="仿宋_GB2312" w:hAnsi="仿宋_GB2312" w:eastAsia="仿宋_GB2312" w:cs="仿宋_GB2312"/>
          <w:color w:val="000000"/>
          <w:spacing w:val="0"/>
          <w:sz w:val="32"/>
          <w:szCs w:val="32"/>
          <w:u w:color="000000"/>
          <w:rtl w:val="0"/>
          <w:lang w:val="zh-TW" w:eastAsia="zh-TW"/>
        </w:rPr>
        <w:t>日内向阳城县人民法院提起行政诉讼。</w:t>
      </w:r>
    </w:p>
    <w:p w14:paraId="1BD7C13D">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06" w:lineRule="exact"/>
        <w:textAlignment w:val="auto"/>
        <w:rPr>
          <w:rFonts w:hint="eastAsia" w:ascii="仿宋_GB2312" w:hAnsi="仿宋_GB2312" w:eastAsia="仿宋_GB2312" w:cs="仿宋_GB2312"/>
          <w:color w:val="000000"/>
          <w:spacing w:val="0"/>
          <w:sz w:val="32"/>
          <w:szCs w:val="32"/>
          <w:u w:color="000000"/>
          <w:rtl w:val="0"/>
          <w:lang w:val="en-US" w:eastAsia="zh-CN"/>
        </w:rPr>
      </w:pPr>
    </w:p>
    <w:p w14:paraId="1FBB55DA">
      <w:pPr>
        <w:keepNext w:val="0"/>
        <w:keepLines w:val="0"/>
        <w:pageBreakBefore w:val="0"/>
        <w:widowControl w:val="0"/>
        <w:kinsoku/>
        <w:wordWrap/>
        <w:overflowPunct/>
        <w:topLinePunct w:val="0"/>
        <w:autoSpaceDE/>
        <w:autoSpaceDN/>
        <w:bidi w:val="0"/>
        <w:adjustRightInd/>
        <w:snapToGrid/>
        <w:spacing w:before="0" w:after="0" w:line="606" w:lineRule="exact"/>
        <w:ind w:right="0" w:rightChars="0" w:firstLine="4800" w:firstLineChars="15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二〇二</w:t>
      </w:r>
      <w:r>
        <w:rPr>
          <w:rFonts w:hint="eastAsia" w:ascii="仿宋_GB2312" w:hAnsi="仿宋_GB2312" w:eastAsia="仿宋_GB2312" w:cs="仿宋_GB2312"/>
          <w:color w:val="auto"/>
          <w:spacing w:val="0"/>
          <w:sz w:val="32"/>
          <w:szCs w:val="32"/>
          <w:lang w:val="en-US" w:eastAsia="zh-CN"/>
        </w:rPr>
        <w:t>四</w:t>
      </w:r>
      <w:r>
        <w:rPr>
          <w:rFonts w:hint="eastAsia" w:ascii="仿宋_GB2312" w:hAnsi="仿宋_GB2312" w:eastAsia="仿宋_GB2312" w:cs="仿宋_GB2312"/>
          <w:color w:val="auto"/>
          <w:spacing w:val="0"/>
          <w:sz w:val="32"/>
          <w:szCs w:val="32"/>
          <w:lang w:eastAsia="zh-CN"/>
        </w:rPr>
        <w:t>年</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auto"/>
          <w:spacing w:val="0"/>
          <w:sz w:val="32"/>
          <w:szCs w:val="32"/>
          <w:lang w:val="en-US" w:eastAsia="zh-CN"/>
        </w:rPr>
        <w:t>月</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auto"/>
          <w:spacing w:val="0"/>
          <w:sz w:val="32"/>
          <w:szCs w:val="32"/>
          <w:lang w:eastAsia="zh-CN"/>
        </w:rPr>
        <w:t>日</w:t>
      </w:r>
    </w:p>
    <w:sectPr>
      <w:footerReference r:id="rId3" w:type="default"/>
      <w:pgSz w:w="11906" w:h="16838"/>
      <w:pgMar w:top="1871" w:right="1587" w:bottom="1587" w:left="1587" w:header="851" w:footer="124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1" w:fontKey="{6A167FDD-3405-4733-9DE5-ADB3A05EE438}"/>
  </w:font>
  <w:font w:name="仿宋_GB2312">
    <w:panose1 w:val="02010609030101010101"/>
    <w:charset w:val="86"/>
    <w:family w:val="modern"/>
    <w:pitch w:val="default"/>
    <w:sig w:usb0="00000001" w:usb1="080E0000" w:usb2="00000000" w:usb3="00000000" w:csb0="00040000" w:csb1="00000000"/>
    <w:embedRegular r:id="rId2" w:fontKey="{FB217581-FFE4-479E-B3DD-BF08F7F67A33}"/>
  </w:font>
  <w:font w:name="楷体_GB2312">
    <w:panose1 w:val="02010609030101010101"/>
    <w:charset w:val="86"/>
    <w:family w:val="auto"/>
    <w:pitch w:val="default"/>
    <w:sig w:usb0="00000001" w:usb1="080E0000" w:usb2="00000000" w:usb3="00000000" w:csb0="00040000" w:csb1="00000000"/>
    <w:embedRegular r:id="rId3" w:fontKey="{D7B85B22-3A63-4641-9B3F-A7C7546D466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7EA30">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8CB914">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8CB914">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mirrorMargin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MWI0MjA2YjBlNDg0N2Y2ZDhlNzAzZWJkOTExMTEifQ=="/>
  </w:docVars>
  <w:rsids>
    <w:rsidRoot w:val="1A5255DD"/>
    <w:rsid w:val="00473031"/>
    <w:rsid w:val="00487B6F"/>
    <w:rsid w:val="009A13B3"/>
    <w:rsid w:val="0139231D"/>
    <w:rsid w:val="01514626"/>
    <w:rsid w:val="028A2032"/>
    <w:rsid w:val="02EE6642"/>
    <w:rsid w:val="032A5C4E"/>
    <w:rsid w:val="04093679"/>
    <w:rsid w:val="0621453B"/>
    <w:rsid w:val="069468A4"/>
    <w:rsid w:val="08DD41BE"/>
    <w:rsid w:val="09376E88"/>
    <w:rsid w:val="09DF7D9A"/>
    <w:rsid w:val="0A040B1F"/>
    <w:rsid w:val="0B056566"/>
    <w:rsid w:val="0B815649"/>
    <w:rsid w:val="0C184410"/>
    <w:rsid w:val="0C637445"/>
    <w:rsid w:val="0DAE649D"/>
    <w:rsid w:val="0DB70E23"/>
    <w:rsid w:val="0EBB5393"/>
    <w:rsid w:val="0ECA7500"/>
    <w:rsid w:val="0F4D5699"/>
    <w:rsid w:val="102A056E"/>
    <w:rsid w:val="10BE10ED"/>
    <w:rsid w:val="10FC4F6D"/>
    <w:rsid w:val="12C02EFB"/>
    <w:rsid w:val="12C86253"/>
    <w:rsid w:val="134966EB"/>
    <w:rsid w:val="13D136FC"/>
    <w:rsid w:val="1457163D"/>
    <w:rsid w:val="14582CB2"/>
    <w:rsid w:val="158E4820"/>
    <w:rsid w:val="15C6213D"/>
    <w:rsid w:val="16C60CFC"/>
    <w:rsid w:val="17BC7BA4"/>
    <w:rsid w:val="18115FA7"/>
    <w:rsid w:val="19C05321"/>
    <w:rsid w:val="19FF3D29"/>
    <w:rsid w:val="1A1344B9"/>
    <w:rsid w:val="1A5255DD"/>
    <w:rsid w:val="1AC87446"/>
    <w:rsid w:val="1B264E7E"/>
    <w:rsid w:val="1B573EB1"/>
    <w:rsid w:val="1B870D75"/>
    <w:rsid w:val="1D1824A5"/>
    <w:rsid w:val="1DC43F7B"/>
    <w:rsid w:val="1E1C6D60"/>
    <w:rsid w:val="1ECC7CDD"/>
    <w:rsid w:val="20273CC6"/>
    <w:rsid w:val="210A3020"/>
    <w:rsid w:val="214F66D8"/>
    <w:rsid w:val="21AB121A"/>
    <w:rsid w:val="22056B7C"/>
    <w:rsid w:val="247C0C4C"/>
    <w:rsid w:val="24F63A5D"/>
    <w:rsid w:val="255A71DF"/>
    <w:rsid w:val="25C31B07"/>
    <w:rsid w:val="268362C1"/>
    <w:rsid w:val="27B9337C"/>
    <w:rsid w:val="27C742A9"/>
    <w:rsid w:val="27F84F8A"/>
    <w:rsid w:val="28375227"/>
    <w:rsid w:val="28425D08"/>
    <w:rsid w:val="29746395"/>
    <w:rsid w:val="29820AB2"/>
    <w:rsid w:val="29A66795"/>
    <w:rsid w:val="29B9024C"/>
    <w:rsid w:val="29E057D9"/>
    <w:rsid w:val="2A257690"/>
    <w:rsid w:val="2A5A1B61"/>
    <w:rsid w:val="2A656AC4"/>
    <w:rsid w:val="2A8D3D00"/>
    <w:rsid w:val="2A961688"/>
    <w:rsid w:val="2A992557"/>
    <w:rsid w:val="2AEC01A3"/>
    <w:rsid w:val="2B5D628A"/>
    <w:rsid w:val="2BA80849"/>
    <w:rsid w:val="2C894861"/>
    <w:rsid w:val="2D001C96"/>
    <w:rsid w:val="2D701A69"/>
    <w:rsid w:val="2E0E0B66"/>
    <w:rsid w:val="30132B70"/>
    <w:rsid w:val="31061FC9"/>
    <w:rsid w:val="31857392"/>
    <w:rsid w:val="33D3107B"/>
    <w:rsid w:val="34082C7C"/>
    <w:rsid w:val="354041F9"/>
    <w:rsid w:val="37620175"/>
    <w:rsid w:val="37725FC6"/>
    <w:rsid w:val="37C45D4F"/>
    <w:rsid w:val="37E97A24"/>
    <w:rsid w:val="387D78D6"/>
    <w:rsid w:val="391D7A4D"/>
    <w:rsid w:val="392F0945"/>
    <w:rsid w:val="39CD7B28"/>
    <w:rsid w:val="3CB234C6"/>
    <w:rsid w:val="3CB72D11"/>
    <w:rsid w:val="3CEA09F1"/>
    <w:rsid w:val="3D05207B"/>
    <w:rsid w:val="3DF10DA5"/>
    <w:rsid w:val="3E374E7B"/>
    <w:rsid w:val="3E91050F"/>
    <w:rsid w:val="3F485EA2"/>
    <w:rsid w:val="3F852F2E"/>
    <w:rsid w:val="3FB6105E"/>
    <w:rsid w:val="3FBD3924"/>
    <w:rsid w:val="410773D1"/>
    <w:rsid w:val="41842500"/>
    <w:rsid w:val="41AE46E3"/>
    <w:rsid w:val="425F2D4F"/>
    <w:rsid w:val="432D7889"/>
    <w:rsid w:val="439B29F8"/>
    <w:rsid w:val="43D85A47"/>
    <w:rsid w:val="45444586"/>
    <w:rsid w:val="45E701C3"/>
    <w:rsid w:val="463F542F"/>
    <w:rsid w:val="471548BC"/>
    <w:rsid w:val="47460F19"/>
    <w:rsid w:val="478E1517"/>
    <w:rsid w:val="47A029AA"/>
    <w:rsid w:val="47B856CB"/>
    <w:rsid w:val="484E277B"/>
    <w:rsid w:val="49543F6B"/>
    <w:rsid w:val="4B2E419E"/>
    <w:rsid w:val="4B854CBC"/>
    <w:rsid w:val="4C463388"/>
    <w:rsid w:val="4C787DC7"/>
    <w:rsid w:val="4E3450D6"/>
    <w:rsid w:val="4EFD311C"/>
    <w:rsid w:val="50A12BFC"/>
    <w:rsid w:val="51204589"/>
    <w:rsid w:val="51A127A5"/>
    <w:rsid w:val="52240FC1"/>
    <w:rsid w:val="5274033D"/>
    <w:rsid w:val="527D7F56"/>
    <w:rsid w:val="52BB7038"/>
    <w:rsid w:val="53E20276"/>
    <w:rsid w:val="53E654CE"/>
    <w:rsid w:val="53F654B5"/>
    <w:rsid w:val="540332B2"/>
    <w:rsid w:val="543D0141"/>
    <w:rsid w:val="54917F00"/>
    <w:rsid w:val="55743AD8"/>
    <w:rsid w:val="55956255"/>
    <w:rsid w:val="55DF2C65"/>
    <w:rsid w:val="56836B03"/>
    <w:rsid w:val="56F31C2C"/>
    <w:rsid w:val="56F34C36"/>
    <w:rsid w:val="578810DA"/>
    <w:rsid w:val="57E176C8"/>
    <w:rsid w:val="585A217F"/>
    <w:rsid w:val="5A71358A"/>
    <w:rsid w:val="5BE82147"/>
    <w:rsid w:val="5C2651BC"/>
    <w:rsid w:val="5D26748D"/>
    <w:rsid w:val="5F5B557E"/>
    <w:rsid w:val="608F305B"/>
    <w:rsid w:val="610C1348"/>
    <w:rsid w:val="61DD6FB9"/>
    <w:rsid w:val="6234161D"/>
    <w:rsid w:val="625F7819"/>
    <w:rsid w:val="64333A29"/>
    <w:rsid w:val="64653B42"/>
    <w:rsid w:val="65D75700"/>
    <w:rsid w:val="67595377"/>
    <w:rsid w:val="676C6322"/>
    <w:rsid w:val="67C038AA"/>
    <w:rsid w:val="67F11785"/>
    <w:rsid w:val="687B7499"/>
    <w:rsid w:val="69EE74C3"/>
    <w:rsid w:val="69F10631"/>
    <w:rsid w:val="6A32027E"/>
    <w:rsid w:val="6B133B41"/>
    <w:rsid w:val="6B714110"/>
    <w:rsid w:val="6B8F438D"/>
    <w:rsid w:val="6C224524"/>
    <w:rsid w:val="6CC60283"/>
    <w:rsid w:val="6DA210B8"/>
    <w:rsid w:val="6EDA1261"/>
    <w:rsid w:val="719B1CDE"/>
    <w:rsid w:val="72762419"/>
    <w:rsid w:val="73410663"/>
    <w:rsid w:val="73BC5F3C"/>
    <w:rsid w:val="73D634A1"/>
    <w:rsid w:val="7416564C"/>
    <w:rsid w:val="742D0BE7"/>
    <w:rsid w:val="74BF014E"/>
    <w:rsid w:val="758E00D6"/>
    <w:rsid w:val="75A60C51"/>
    <w:rsid w:val="763B74A3"/>
    <w:rsid w:val="765C12DE"/>
    <w:rsid w:val="76B5282D"/>
    <w:rsid w:val="76DE2D93"/>
    <w:rsid w:val="77071BC4"/>
    <w:rsid w:val="77A637DB"/>
    <w:rsid w:val="77EF4B32"/>
    <w:rsid w:val="784A794B"/>
    <w:rsid w:val="79E854D8"/>
    <w:rsid w:val="7A00770A"/>
    <w:rsid w:val="7A10018B"/>
    <w:rsid w:val="7B1F7B91"/>
    <w:rsid w:val="7C6F1677"/>
    <w:rsid w:val="7D160FD2"/>
    <w:rsid w:val="7EF26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autoRedefine/>
    <w:qFormat/>
    <w:uiPriority w:val="0"/>
    <w:rPr>
      <w:color w:val="0000FF"/>
      <w:u w:val="single"/>
    </w:rPr>
  </w:style>
  <w:style w:type="paragraph" w:customStyle="1" w:styleId="7">
    <w:name w:val="样式1"/>
    <w:basedOn w:val="1"/>
    <w:autoRedefine/>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2917</Words>
  <Characters>2924</Characters>
  <Lines>0</Lines>
  <Paragraphs>0</Paragraphs>
  <TotalTime>6</TotalTime>
  <ScaleCrop>false</ScaleCrop>
  <LinksUpToDate>false</LinksUpToDate>
  <CharactersWithSpaces>2974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2022-01-18T01:41:00Z</dcterms:created>
  <dc:creator>melody圈</dc:creator>
  <cp:lastModifiedBy>melody圈</cp:lastModifiedBy>
  <cp:lastPrinted>2024-02-22T01:41:00Z</cp:lastPrinted>
  <dcterms:modified xsi:type="dcterms:W3CDTF">2024-07-30T03:21:22Z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0802963CE4F74CF094E1FA6A79AA5754_13</vt:lpwstr>
  </property>
</Properties>
</file>